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96170E" w14:textId="77777777" w:rsidR="005E456C" w:rsidRPr="005E456C" w:rsidRDefault="005E456C" w:rsidP="005E456C">
      <w:pPr>
        <w:jc w:val="center"/>
        <w:rPr>
          <w:rFonts w:ascii="Arial" w:eastAsia="Arial" w:hAnsi="Arial" w:cs="Arial"/>
          <w:b/>
          <w:w w:val="105"/>
          <w:sz w:val="20"/>
          <w:u w:val="thick"/>
        </w:rPr>
      </w:pPr>
      <w:r w:rsidRPr="005E456C">
        <w:rPr>
          <w:rFonts w:ascii="Arial" w:eastAsia="Arial" w:hAnsi="Arial" w:cs="Arial"/>
          <w:b/>
          <w:w w:val="105"/>
          <w:sz w:val="20"/>
          <w:u w:val="thick"/>
        </w:rPr>
        <w:t>KALYAN CAPITALS LTD</w:t>
      </w:r>
    </w:p>
    <w:p w14:paraId="53FF70B1" w14:textId="77777777" w:rsidR="005E456C" w:rsidRPr="005E456C" w:rsidRDefault="005E456C" w:rsidP="005E456C">
      <w:pPr>
        <w:jc w:val="center"/>
        <w:rPr>
          <w:rFonts w:ascii="Arial" w:eastAsia="Arial" w:hAnsi="Arial" w:cs="Arial"/>
          <w:b/>
          <w:w w:val="105"/>
          <w:sz w:val="20"/>
          <w:u w:val="thick"/>
        </w:rPr>
      </w:pPr>
      <w:r w:rsidRPr="005E456C">
        <w:rPr>
          <w:rFonts w:ascii="Arial" w:eastAsia="Arial" w:hAnsi="Arial" w:cs="Arial"/>
          <w:b/>
          <w:w w:val="105"/>
          <w:sz w:val="20"/>
          <w:u w:val="thick"/>
        </w:rPr>
        <w:t>(Formerly Akashdeep Metals Industries Ltd.)</w:t>
      </w:r>
    </w:p>
    <w:p w14:paraId="2BB1D6E2" w14:textId="77777777" w:rsidR="00FE5B4C" w:rsidRDefault="00FE5B4C">
      <w:pPr>
        <w:pStyle w:val="BodyText"/>
        <w:spacing w:before="11"/>
        <w:rPr>
          <w:rFonts w:ascii="Georgia"/>
          <w:sz w:val="28"/>
        </w:rPr>
      </w:pPr>
    </w:p>
    <w:p w14:paraId="608D5682" w14:textId="6C87A1BA" w:rsidR="00FE5B4C" w:rsidRDefault="005E456C">
      <w:pPr>
        <w:pStyle w:val="BodyText"/>
        <w:tabs>
          <w:tab w:val="left" w:pos="9047"/>
        </w:tabs>
        <w:ind w:left="119" w:right="140"/>
        <w:jc w:val="center"/>
      </w:pPr>
      <w:r>
        <w:rPr>
          <w:noProof/>
        </w:rPr>
        <mc:AlternateContent>
          <mc:Choice Requires="wps">
            <w:drawing>
              <wp:anchor distT="0" distB="0" distL="114300" distR="114300" simplePos="0" relativeHeight="15728640" behindDoc="0" locked="0" layoutInCell="1" allowOverlap="1" wp14:anchorId="1BA1099F" wp14:editId="61ED6D51">
                <wp:simplePos x="0" y="0"/>
                <wp:positionH relativeFrom="page">
                  <wp:posOffset>914400</wp:posOffset>
                </wp:positionH>
                <wp:positionV relativeFrom="paragraph">
                  <wp:posOffset>334010</wp:posOffset>
                </wp:positionV>
                <wp:extent cx="5746750" cy="15240"/>
                <wp:effectExtent l="0" t="0" r="0" b="0"/>
                <wp:wrapNone/>
                <wp:docPr id="160646321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6750" cy="1524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6F2F27" id="Rectangle 3" o:spid="_x0000_s1026" style="position:absolute;margin-left:1in;margin-top:26.3pt;width:452.5pt;height:1.2pt;z-index:15728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" fillcolor="black" stroked="f">
                <w10:wrap anchorx="page"/>
              </v:rect>
            </w:pict>
          </mc:Fallback>
        </mc:AlternateContent>
      </w:r>
      <w:r w:rsidR="00000000">
        <w:rPr>
          <w:w w:val="105"/>
        </w:rPr>
        <w:t>Guidelines on "Know Your Customer" (KYC) and Anti-Money Laundering Standards (AML)</w:t>
      </w:r>
      <w:r w:rsidR="00000000">
        <w:rPr>
          <w:spacing w:val="-1"/>
          <w:w w:val="105"/>
        </w:rPr>
        <w:t xml:space="preserve"> </w:t>
      </w:r>
      <w:r w:rsidR="00000000">
        <w:rPr>
          <w:w w:val="105"/>
        </w:rPr>
        <w:t>Norms</w:t>
      </w:r>
      <w:r w:rsidR="00000000">
        <w:rPr>
          <w:w w:val="105"/>
        </w:rPr>
        <w:tab/>
      </w:r>
      <w:r w:rsidR="00000000">
        <w:t>_</w:t>
      </w:r>
    </w:p>
    <w:p w14:paraId="293C967A" w14:textId="77777777" w:rsidR="00FE5B4C" w:rsidRDefault="00FE5B4C">
      <w:pPr>
        <w:pStyle w:val="BodyText"/>
        <w:spacing w:before="3"/>
        <w:rPr>
          <w:sz w:val="18"/>
        </w:rPr>
      </w:pPr>
    </w:p>
    <w:p w14:paraId="14658F01" w14:textId="77777777" w:rsidR="00FE5B4C" w:rsidRDefault="00000000">
      <w:pPr>
        <w:pStyle w:val="BodyText"/>
        <w:spacing w:before="61"/>
        <w:ind w:left="120" w:right="137"/>
        <w:jc w:val="both"/>
      </w:pPr>
      <w:r>
        <w:t xml:space="preserve">Company has adopted following practice to comply with Reserve Bank of India (RBI) guidelines vide circular DNBS (PD) CC No. 339/03.10.42/2013-14 dated July 1, 2013 on "Know Your Customer” (KYC) Guidelines –  Anti  Money  Laundering Standards </w:t>
      </w:r>
      <w:r>
        <w:rPr>
          <w:spacing w:val="6"/>
        </w:rPr>
        <w:t xml:space="preserve">(AML)  </w:t>
      </w:r>
      <w:r>
        <w:t xml:space="preserve">for Non-Banking Finance Companies (NBFCs) thereby setting standards for prevention of money laundering activities and Corporate Practices while dealing with their customers. The Company shall adopt all practices prescribed by </w:t>
      </w:r>
      <w:r>
        <w:rPr>
          <w:spacing w:val="3"/>
        </w:rPr>
        <w:t xml:space="preserve">RBI </w:t>
      </w:r>
      <w:r>
        <w:t>from time to time and shall make appropriate modifications if any so</w:t>
      </w:r>
      <w:r>
        <w:rPr>
          <w:spacing w:val="-26"/>
        </w:rPr>
        <w:t xml:space="preserve"> </w:t>
      </w:r>
      <w:r>
        <w:t>prescribed.</w:t>
      </w:r>
    </w:p>
    <w:p w14:paraId="172BD42F" w14:textId="77777777" w:rsidR="00FE5B4C" w:rsidRDefault="00FE5B4C">
      <w:pPr>
        <w:pStyle w:val="BodyText"/>
        <w:spacing w:before="9"/>
        <w:rPr>
          <w:sz w:val="23"/>
        </w:rPr>
      </w:pPr>
    </w:p>
    <w:p w14:paraId="0777D91B" w14:textId="77777777" w:rsidR="00FE5B4C" w:rsidRDefault="00000000">
      <w:pPr>
        <w:pStyle w:val="BodyText"/>
        <w:ind w:left="120"/>
        <w:jc w:val="both"/>
      </w:pPr>
      <w:r>
        <w:t>For the purpose of KYC policy, a ‘Customer’ may be defined as:</w:t>
      </w:r>
    </w:p>
    <w:p w14:paraId="1BD0A5F8" w14:textId="77777777" w:rsidR="00FE5B4C" w:rsidRDefault="00FE5B4C">
      <w:pPr>
        <w:pStyle w:val="BodyText"/>
      </w:pPr>
    </w:p>
    <w:p w14:paraId="2E7BE7AC" w14:textId="77777777" w:rsidR="00FE5B4C" w:rsidRDefault="00000000">
      <w:pPr>
        <w:pStyle w:val="ListParagraph"/>
        <w:numPr>
          <w:ilvl w:val="0"/>
          <w:numId w:val="3"/>
        </w:numPr>
        <w:tabs>
          <w:tab w:val="left" w:pos="687"/>
        </w:tabs>
        <w:jc w:val="both"/>
        <w:rPr>
          <w:sz w:val="24"/>
        </w:rPr>
      </w:pPr>
      <w:r>
        <w:rPr>
          <w:sz w:val="24"/>
        </w:rPr>
        <w:t>a</w:t>
      </w:r>
      <w:r>
        <w:rPr>
          <w:spacing w:val="-4"/>
          <w:sz w:val="24"/>
        </w:rPr>
        <w:t xml:space="preserve"> </w:t>
      </w:r>
      <w:r>
        <w:rPr>
          <w:sz w:val="24"/>
        </w:rPr>
        <w:t>person</w:t>
      </w:r>
      <w:r>
        <w:rPr>
          <w:spacing w:val="-7"/>
          <w:sz w:val="24"/>
        </w:rPr>
        <w:t xml:space="preserve"> </w:t>
      </w:r>
      <w:r>
        <w:rPr>
          <w:sz w:val="24"/>
        </w:rPr>
        <w:t>or</w:t>
      </w:r>
      <w:r>
        <w:rPr>
          <w:spacing w:val="-2"/>
          <w:sz w:val="24"/>
        </w:rPr>
        <w:t xml:space="preserve"> </w:t>
      </w:r>
      <w:r>
        <w:rPr>
          <w:sz w:val="24"/>
        </w:rPr>
        <w:t>entity</w:t>
      </w:r>
      <w:r>
        <w:rPr>
          <w:spacing w:val="-6"/>
          <w:sz w:val="24"/>
        </w:rPr>
        <w:t xml:space="preserve"> </w:t>
      </w:r>
      <w:r>
        <w:rPr>
          <w:sz w:val="24"/>
        </w:rPr>
        <w:t>that</w:t>
      </w:r>
      <w:r>
        <w:rPr>
          <w:spacing w:val="-3"/>
          <w:sz w:val="24"/>
        </w:rPr>
        <w:t xml:space="preserve"> </w:t>
      </w:r>
      <w:r>
        <w:rPr>
          <w:sz w:val="24"/>
        </w:rPr>
        <w:t>maintains</w:t>
      </w:r>
      <w:r>
        <w:rPr>
          <w:spacing w:val="-7"/>
          <w:sz w:val="24"/>
        </w:rPr>
        <w:t xml:space="preserve"> </w:t>
      </w:r>
      <w:r>
        <w:rPr>
          <w:sz w:val="24"/>
        </w:rPr>
        <w:t>and/or</w:t>
      </w:r>
      <w:r>
        <w:rPr>
          <w:spacing w:val="-7"/>
          <w:sz w:val="24"/>
        </w:rPr>
        <w:t xml:space="preserve"> </w:t>
      </w:r>
      <w:r>
        <w:rPr>
          <w:sz w:val="24"/>
        </w:rPr>
        <w:t>has</w:t>
      </w:r>
      <w:r>
        <w:rPr>
          <w:spacing w:val="-4"/>
          <w:sz w:val="24"/>
        </w:rPr>
        <w:t xml:space="preserve"> </w:t>
      </w:r>
      <w:r>
        <w:rPr>
          <w:sz w:val="24"/>
        </w:rPr>
        <w:t>a</w:t>
      </w:r>
      <w:r>
        <w:rPr>
          <w:spacing w:val="-3"/>
          <w:sz w:val="24"/>
        </w:rPr>
        <w:t xml:space="preserve"> </w:t>
      </w:r>
      <w:r>
        <w:rPr>
          <w:sz w:val="24"/>
        </w:rPr>
        <w:t>business</w:t>
      </w:r>
      <w:r>
        <w:rPr>
          <w:spacing w:val="-10"/>
          <w:sz w:val="24"/>
        </w:rPr>
        <w:t xml:space="preserve"> </w:t>
      </w:r>
      <w:r>
        <w:rPr>
          <w:sz w:val="24"/>
        </w:rPr>
        <w:t>relationship</w:t>
      </w:r>
      <w:r>
        <w:rPr>
          <w:spacing w:val="-10"/>
          <w:sz w:val="24"/>
        </w:rPr>
        <w:t xml:space="preserve"> </w:t>
      </w:r>
      <w:r>
        <w:rPr>
          <w:sz w:val="24"/>
        </w:rPr>
        <w:t>with</w:t>
      </w:r>
      <w:r>
        <w:rPr>
          <w:spacing w:val="-6"/>
          <w:sz w:val="24"/>
        </w:rPr>
        <w:t xml:space="preserve"> </w:t>
      </w:r>
      <w:r>
        <w:rPr>
          <w:sz w:val="24"/>
        </w:rPr>
        <w:t>the</w:t>
      </w:r>
      <w:r>
        <w:rPr>
          <w:spacing w:val="-3"/>
          <w:sz w:val="24"/>
        </w:rPr>
        <w:t xml:space="preserve"> </w:t>
      </w:r>
      <w:r>
        <w:rPr>
          <w:sz w:val="24"/>
        </w:rPr>
        <w:t>Company;</w:t>
      </w:r>
    </w:p>
    <w:p w14:paraId="62737D63" w14:textId="77777777" w:rsidR="00FE5B4C" w:rsidRDefault="00000000">
      <w:pPr>
        <w:pStyle w:val="ListParagraph"/>
        <w:numPr>
          <w:ilvl w:val="0"/>
          <w:numId w:val="3"/>
        </w:numPr>
        <w:tabs>
          <w:tab w:val="left" w:pos="687"/>
        </w:tabs>
        <w:ind w:hanging="568"/>
        <w:jc w:val="both"/>
        <w:rPr>
          <w:sz w:val="24"/>
        </w:rPr>
      </w:pPr>
      <w:r>
        <w:rPr>
          <w:sz w:val="24"/>
        </w:rPr>
        <w:t>one</w:t>
      </w:r>
      <w:r>
        <w:rPr>
          <w:spacing w:val="-5"/>
          <w:sz w:val="24"/>
        </w:rPr>
        <w:t xml:space="preserve"> </w:t>
      </w:r>
      <w:r>
        <w:rPr>
          <w:sz w:val="24"/>
        </w:rPr>
        <w:t>on</w:t>
      </w:r>
      <w:r>
        <w:rPr>
          <w:spacing w:val="-4"/>
          <w:sz w:val="24"/>
        </w:rPr>
        <w:t xml:space="preserve"> </w:t>
      </w:r>
      <w:r>
        <w:rPr>
          <w:sz w:val="24"/>
        </w:rPr>
        <w:t>whose</w:t>
      </w:r>
      <w:r>
        <w:rPr>
          <w:spacing w:val="-9"/>
          <w:sz w:val="24"/>
        </w:rPr>
        <w:t xml:space="preserve"> </w:t>
      </w:r>
      <w:r>
        <w:rPr>
          <w:sz w:val="24"/>
        </w:rPr>
        <w:t>behalf</w:t>
      </w:r>
      <w:r>
        <w:rPr>
          <w:spacing w:val="-4"/>
          <w:sz w:val="24"/>
        </w:rPr>
        <w:t xml:space="preserve"> </w:t>
      </w:r>
      <w:r>
        <w:rPr>
          <w:sz w:val="24"/>
        </w:rPr>
        <w:t>such</w:t>
      </w:r>
      <w:r>
        <w:rPr>
          <w:spacing w:val="-4"/>
          <w:sz w:val="24"/>
        </w:rPr>
        <w:t xml:space="preserve"> </w:t>
      </w:r>
      <w:r>
        <w:rPr>
          <w:sz w:val="24"/>
        </w:rPr>
        <w:t>relationship</w:t>
      </w:r>
      <w:r>
        <w:rPr>
          <w:spacing w:val="-9"/>
          <w:sz w:val="24"/>
        </w:rPr>
        <w:t xml:space="preserve"> </w:t>
      </w:r>
      <w:r>
        <w:rPr>
          <w:sz w:val="24"/>
        </w:rPr>
        <w:t>is</w:t>
      </w:r>
      <w:r>
        <w:rPr>
          <w:spacing w:val="-3"/>
          <w:sz w:val="24"/>
        </w:rPr>
        <w:t xml:space="preserve"> </w:t>
      </w:r>
      <w:r>
        <w:rPr>
          <w:sz w:val="24"/>
        </w:rPr>
        <w:t>maintained</w:t>
      </w:r>
      <w:r>
        <w:rPr>
          <w:spacing w:val="-3"/>
          <w:sz w:val="24"/>
        </w:rPr>
        <w:t xml:space="preserve"> </w:t>
      </w:r>
      <w:r>
        <w:rPr>
          <w:sz w:val="24"/>
        </w:rPr>
        <w:t>(i.e.</w:t>
      </w:r>
      <w:r>
        <w:rPr>
          <w:spacing w:val="-4"/>
          <w:sz w:val="24"/>
        </w:rPr>
        <w:t xml:space="preserve"> </w:t>
      </w:r>
      <w:r>
        <w:rPr>
          <w:sz w:val="24"/>
        </w:rPr>
        <w:t>the</w:t>
      </w:r>
      <w:r>
        <w:rPr>
          <w:spacing w:val="-4"/>
          <w:sz w:val="24"/>
        </w:rPr>
        <w:t xml:space="preserve"> </w:t>
      </w:r>
      <w:r>
        <w:rPr>
          <w:sz w:val="24"/>
        </w:rPr>
        <w:t>beneficial</w:t>
      </w:r>
      <w:r>
        <w:rPr>
          <w:spacing w:val="-2"/>
          <w:sz w:val="24"/>
        </w:rPr>
        <w:t xml:space="preserve"> </w:t>
      </w:r>
      <w:r>
        <w:rPr>
          <w:sz w:val="24"/>
        </w:rPr>
        <w:t>owner);</w:t>
      </w:r>
    </w:p>
    <w:p w14:paraId="039E18E2" w14:textId="77777777" w:rsidR="00FE5B4C" w:rsidRDefault="00000000">
      <w:pPr>
        <w:pStyle w:val="ListParagraph"/>
        <w:numPr>
          <w:ilvl w:val="0"/>
          <w:numId w:val="3"/>
        </w:numPr>
        <w:tabs>
          <w:tab w:val="left" w:pos="687"/>
        </w:tabs>
        <w:ind w:right="137"/>
        <w:jc w:val="both"/>
        <w:rPr>
          <w:sz w:val="24"/>
        </w:rPr>
      </w:pPr>
      <w:r>
        <w:rPr>
          <w:sz w:val="24"/>
        </w:rPr>
        <w:t>beneficiaries of  transactions  conducted  by  professional  intermediaries,  such  as Stock</w:t>
      </w:r>
      <w:r>
        <w:rPr>
          <w:spacing w:val="-4"/>
          <w:sz w:val="24"/>
        </w:rPr>
        <w:t xml:space="preserve"> </w:t>
      </w:r>
      <w:r>
        <w:rPr>
          <w:sz w:val="24"/>
        </w:rPr>
        <w:t>Brokers,</w:t>
      </w:r>
      <w:r>
        <w:rPr>
          <w:spacing w:val="-10"/>
          <w:sz w:val="24"/>
        </w:rPr>
        <w:t xml:space="preserve"> </w:t>
      </w:r>
      <w:r>
        <w:rPr>
          <w:sz w:val="24"/>
        </w:rPr>
        <w:t>Chartered</w:t>
      </w:r>
      <w:r>
        <w:rPr>
          <w:spacing w:val="-7"/>
          <w:sz w:val="24"/>
        </w:rPr>
        <w:t xml:space="preserve"> </w:t>
      </w:r>
      <w:r>
        <w:rPr>
          <w:sz w:val="24"/>
        </w:rPr>
        <w:t>Accountants,</w:t>
      </w:r>
      <w:r>
        <w:rPr>
          <w:spacing w:val="-11"/>
          <w:sz w:val="24"/>
        </w:rPr>
        <w:t xml:space="preserve"> </w:t>
      </w:r>
      <w:r>
        <w:rPr>
          <w:sz w:val="24"/>
        </w:rPr>
        <w:t>Solicitors</w:t>
      </w:r>
      <w:r>
        <w:rPr>
          <w:spacing w:val="-7"/>
          <w:sz w:val="24"/>
        </w:rPr>
        <w:t xml:space="preserve"> </w:t>
      </w:r>
      <w:r>
        <w:rPr>
          <w:sz w:val="24"/>
        </w:rPr>
        <w:t>etc.</w:t>
      </w:r>
      <w:r>
        <w:rPr>
          <w:spacing w:val="-2"/>
          <w:sz w:val="24"/>
        </w:rPr>
        <w:t xml:space="preserve"> </w:t>
      </w:r>
      <w:r>
        <w:rPr>
          <w:sz w:val="24"/>
        </w:rPr>
        <w:t>as</w:t>
      </w:r>
      <w:r>
        <w:rPr>
          <w:spacing w:val="-4"/>
          <w:sz w:val="24"/>
        </w:rPr>
        <w:t xml:space="preserve"> </w:t>
      </w:r>
      <w:r>
        <w:rPr>
          <w:sz w:val="24"/>
        </w:rPr>
        <w:t>permitted</w:t>
      </w:r>
      <w:r>
        <w:rPr>
          <w:spacing w:val="-7"/>
          <w:sz w:val="24"/>
        </w:rPr>
        <w:t xml:space="preserve"> </w:t>
      </w:r>
      <w:r>
        <w:rPr>
          <w:sz w:val="24"/>
        </w:rPr>
        <w:t>under</w:t>
      </w:r>
      <w:r>
        <w:rPr>
          <w:spacing w:val="-8"/>
          <w:sz w:val="24"/>
        </w:rPr>
        <w:t xml:space="preserve"> </w:t>
      </w:r>
      <w:r>
        <w:rPr>
          <w:sz w:val="24"/>
        </w:rPr>
        <w:t>the</w:t>
      </w:r>
      <w:r>
        <w:rPr>
          <w:spacing w:val="-3"/>
          <w:sz w:val="24"/>
        </w:rPr>
        <w:t xml:space="preserve"> </w:t>
      </w:r>
      <w:r>
        <w:rPr>
          <w:sz w:val="24"/>
        </w:rPr>
        <w:t>law,</w:t>
      </w:r>
      <w:r>
        <w:rPr>
          <w:spacing w:val="-3"/>
          <w:sz w:val="24"/>
        </w:rPr>
        <w:t xml:space="preserve"> </w:t>
      </w:r>
      <w:r>
        <w:rPr>
          <w:sz w:val="24"/>
        </w:rPr>
        <w:t>and</w:t>
      </w:r>
    </w:p>
    <w:p w14:paraId="632D4860" w14:textId="77777777" w:rsidR="00FE5B4C" w:rsidRDefault="00000000">
      <w:pPr>
        <w:pStyle w:val="ListParagraph"/>
        <w:numPr>
          <w:ilvl w:val="0"/>
          <w:numId w:val="3"/>
        </w:numPr>
        <w:tabs>
          <w:tab w:val="left" w:pos="687"/>
        </w:tabs>
        <w:ind w:right="137"/>
        <w:jc w:val="both"/>
        <w:rPr>
          <w:sz w:val="24"/>
        </w:rPr>
      </w:pPr>
      <w:r>
        <w:rPr>
          <w:sz w:val="24"/>
        </w:rPr>
        <w:t>Any person or entity connected with a financial transaction,  which  can  pose significant reputation or other risks to the Company, say, a wire transfer or issue of a high value demand draft as a single</w:t>
      </w:r>
      <w:r>
        <w:rPr>
          <w:spacing w:val="-6"/>
          <w:sz w:val="24"/>
        </w:rPr>
        <w:t xml:space="preserve"> </w:t>
      </w:r>
      <w:r>
        <w:rPr>
          <w:sz w:val="24"/>
        </w:rPr>
        <w:t>transaction.</w:t>
      </w:r>
    </w:p>
    <w:p w14:paraId="5B3E8681" w14:textId="77777777" w:rsidR="00FE5B4C" w:rsidRDefault="00FE5B4C">
      <w:pPr>
        <w:pStyle w:val="BodyText"/>
        <w:spacing w:before="6"/>
        <w:rPr>
          <w:sz w:val="25"/>
        </w:rPr>
      </w:pPr>
    </w:p>
    <w:p w14:paraId="08BAF7D4" w14:textId="77777777" w:rsidR="00FE5B4C" w:rsidRDefault="00000000">
      <w:pPr>
        <w:pStyle w:val="BodyText"/>
        <w:ind w:left="120"/>
      </w:pPr>
      <w:r>
        <w:rPr>
          <w:w w:val="105"/>
          <w:u w:val="thick"/>
        </w:rPr>
        <w:t>Objective</w:t>
      </w:r>
    </w:p>
    <w:p w14:paraId="07C24840" w14:textId="77777777" w:rsidR="00FE5B4C" w:rsidRDefault="00000000">
      <w:pPr>
        <w:pStyle w:val="BodyText"/>
        <w:spacing w:before="14"/>
        <w:ind w:left="119" w:right="135"/>
        <w:jc w:val="both"/>
      </w:pPr>
      <w:r>
        <w:t xml:space="preserve">The objective of KYC guidelines is to prevent the Company from being used, intentionally   or unintentionally, </w:t>
      </w:r>
      <w:r>
        <w:rPr>
          <w:spacing w:val="3"/>
        </w:rPr>
        <w:t xml:space="preserve">by </w:t>
      </w:r>
      <w:r>
        <w:t xml:space="preserve">criminal elements for money laundering activities. KYC procedures also enable Company to know/understand their customers and their financial dealings better, which in turn help them, manage their risks prudently. The Company hereunder framing its KYC policies incorporating the following four </w:t>
      </w:r>
      <w:r>
        <w:rPr>
          <w:spacing w:val="2"/>
        </w:rPr>
        <w:t>key</w:t>
      </w:r>
      <w:r>
        <w:rPr>
          <w:spacing w:val="-28"/>
        </w:rPr>
        <w:t xml:space="preserve"> </w:t>
      </w:r>
      <w:r>
        <w:t>elements:</w:t>
      </w:r>
    </w:p>
    <w:p w14:paraId="435A769F" w14:textId="77777777" w:rsidR="00FE5B4C" w:rsidRDefault="00FE5B4C">
      <w:pPr>
        <w:pStyle w:val="BodyText"/>
        <w:spacing w:before="3"/>
      </w:pPr>
    </w:p>
    <w:p w14:paraId="00859485" w14:textId="77777777" w:rsidR="00FE5B4C" w:rsidRDefault="00000000">
      <w:pPr>
        <w:pStyle w:val="ListParagraph"/>
        <w:numPr>
          <w:ilvl w:val="0"/>
          <w:numId w:val="2"/>
        </w:numPr>
        <w:tabs>
          <w:tab w:val="left" w:pos="478"/>
        </w:tabs>
        <w:spacing w:line="272" w:lineRule="exact"/>
        <w:ind w:hanging="359"/>
        <w:rPr>
          <w:sz w:val="24"/>
        </w:rPr>
      </w:pPr>
      <w:r>
        <w:rPr>
          <w:sz w:val="24"/>
        </w:rPr>
        <w:t>Customer Acceptance</w:t>
      </w:r>
      <w:r>
        <w:rPr>
          <w:spacing w:val="-14"/>
          <w:sz w:val="24"/>
        </w:rPr>
        <w:t xml:space="preserve"> </w:t>
      </w:r>
      <w:r>
        <w:rPr>
          <w:sz w:val="24"/>
        </w:rPr>
        <w:t>Policy;</w:t>
      </w:r>
    </w:p>
    <w:p w14:paraId="1F9F753B" w14:textId="77777777" w:rsidR="00FE5B4C" w:rsidRDefault="00000000">
      <w:pPr>
        <w:pStyle w:val="ListParagraph"/>
        <w:numPr>
          <w:ilvl w:val="0"/>
          <w:numId w:val="2"/>
        </w:numPr>
        <w:tabs>
          <w:tab w:val="left" w:pos="478"/>
        </w:tabs>
        <w:spacing w:line="268" w:lineRule="exact"/>
        <w:ind w:hanging="359"/>
        <w:rPr>
          <w:sz w:val="24"/>
        </w:rPr>
      </w:pPr>
      <w:r>
        <w:rPr>
          <w:sz w:val="24"/>
        </w:rPr>
        <w:t>Customer Identification</w:t>
      </w:r>
      <w:r>
        <w:rPr>
          <w:spacing w:val="-7"/>
          <w:sz w:val="24"/>
        </w:rPr>
        <w:t xml:space="preserve"> </w:t>
      </w:r>
      <w:r>
        <w:rPr>
          <w:sz w:val="24"/>
        </w:rPr>
        <w:t>Procedures;</w:t>
      </w:r>
    </w:p>
    <w:p w14:paraId="436113C7" w14:textId="77777777" w:rsidR="00FE5B4C" w:rsidRDefault="00000000">
      <w:pPr>
        <w:pStyle w:val="ListParagraph"/>
        <w:numPr>
          <w:ilvl w:val="0"/>
          <w:numId w:val="2"/>
        </w:numPr>
        <w:tabs>
          <w:tab w:val="left" w:pos="478"/>
        </w:tabs>
        <w:spacing w:line="271" w:lineRule="exact"/>
        <w:ind w:hanging="359"/>
        <w:rPr>
          <w:sz w:val="24"/>
        </w:rPr>
      </w:pPr>
      <w:r>
        <w:rPr>
          <w:sz w:val="24"/>
        </w:rPr>
        <w:t>Monitoring of Transactions;</w:t>
      </w:r>
      <w:r>
        <w:rPr>
          <w:spacing w:val="-25"/>
          <w:sz w:val="24"/>
        </w:rPr>
        <w:t xml:space="preserve"> </w:t>
      </w:r>
      <w:r>
        <w:rPr>
          <w:sz w:val="24"/>
        </w:rPr>
        <w:t>and</w:t>
      </w:r>
    </w:p>
    <w:p w14:paraId="7E40993C" w14:textId="77777777" w:rsidR="00FE5B4C" w:rsidRDefault="00000000">
      <w:pPr>
        <w:pStyle w:val="ListParagraph"/>
        <w:numPr>
          <w:ilvl w:val="0"/>
          <w:numId w:val="2"/>
        </w:numPr>
        <w:tabs>
          <w:tab w:val="left" w:pos="478"/>
        </w:tabs>
        <w:ind w:hanging="359"/>
        <w:rPr>
          <w:sz w:val="24"/>
        </w:rPr>
      </w:pPr>
      <w:r>
        <w:rPr>
          <w:sz w:val="24"/>
        </w:rPr>
        <w:t>Risk</w:t>
      </w:r>
      <w:r>
        <w:rPr>
          <w:spacing w:val="-6"/>
          <w:sz w:val="24"/>
        </w:rPr>
        <w:t xml:space="preserve"> </w:t>
      </w:r>
      <w:r>
        <w:rPr>
          <w:sz w:val="24"/>
        </w:rPr>
        <w:t>management.</w:t>
      </w:r>
    </w:p>
    <w:p w14:paraId="0F439686" w14:textId="77777777" w:rsidR="00FE5B4C" w:rsidRDefault="00FE5B4C">
      <w:pPr>
        <w:pStyle w:val="BodyText"/>
        <w:spacing w:before="5"/>
        <w:rPr>
          <w:sz w:val="29"/>
        </w:rPr>
      </w:pPr>
    </w:p>
    <w:p w14:paraId="2EF252BF" w14:textId="77777777" w:rsidR="00FE5B4C" w:rsidRDefault="00000000">
      <w:pPr>
        <w:pStyle w:val="BodyText"/>
        <w:ind w:left="119"/>
        <w:jc w:val="both"/>
      </w:pPr>
      <w:r>
        <w:rPr>
          <w:w w:val="105"/>
          <w:u w:val="thick"/>
        </w:rPr>
        <w:t>Customer Acceptance Policy</w:t>
      </w:r>
    </w:p>
    <w:p w14:paraId="215D287B" w14:textId="77777777" w:rsidR="00FE5B4C" w:rsidRDefault="00000000">
      <w:pPr>
        <w:pStyle w:val="BodyText"/>
        <w:spacing w:before="14"/>
        <w:ind w:left="120" w:right="137"/>
        <w:jc w:val="both"/>
      </w:pPr>
      <w:r>
        <w:t>The Company would develop a clear Customer Acceptance Policy laying down explicit criteria for acceptance of customers. The Customer Acceptance Policy must ensure that explicit guidelines are in place on the following aspects of customer relationship in the company:</w:t>
      </w:r>
    </w:p>
    <w:p w14:paraId="0DE6A7EA" w14:textId="77777777" w:rsidR="00FE5B4C" w:rsidRDefault="00FE5B4C">
      <w:pPr>
        <w:pStyle w:val="BodyText"/>
        <w:spacing w:before="9"/>
        <w:rPr>
          <w:sz w:val="23"/>
        </w:rPr>
      </w:pPr>
    </w:p>
    <w:p w14:paraId="64C47C72" w14:textId="77777777" w:rsidR="00FE5B4C" w:rsidRDefault="00000000">
      <w:pPr>
        <w:pStyle w:val="ListParagraph"/>
        <w:numPr>
          <w:ilvl w:val="0"/>
          <w:numId w:val="1"/>
        </w:numPr>
        <w:tabs>
          <w:tab w:val="left" w:pos="686"/>
          <w:tab w:val="left" w:pos="687"/>
        </w:tabs>
        <w:rPr>
          <w:sz w:val="24"/>
        </w:rPr>
      </w:pPr>
      <w:r>
        <w:rPr>
          <w:sz w:val="24"/>
        </w:rPr>
        <w:t>No account is opened in anonymous or fictitious/benami</w:t>
      </w:r>
      <w:r>
        <w:rPr>
          <w:spacing w:val="-35"/>
          <w:sz w:val="24"/>
        </w:rPr>
        <w:t xml:space="preserve"> </w:t>
      </w:r>
      <w:r>
        <w:rPr>
          <w:sz w:val="24"/>
        </w:rPr>
        <w:t>name(s);</w:t>
      </w:r>
    </w:p>
    <w:p w14:paraId="60E70358" w14:textId="77777777" w:rsidR="00FE5B4C" w:rsidRDefault="00000000">
      <w:pPr>
        <w:pStyle w:val="ListParagraph"/>
        <w:numPr>
          <w:ilvl w:val="0"/>
          <w:numId w:val="1"/>
        </w:numPr>
        <w:tabs>
          <w:tab w:val="left" w:pos="686"/>
          <w:tab w:val="left" w:pos="687"/>
        </w:tabs>
        <w:ind w:hanging="568"/>
        <w:rPr>
          <w:sz w:val="24"/>
        </w:rPr>
      </w:pPr>
      <w:r>
        <w:rPr>
          <w:sz w:val="24"/>
        </w:rPr>
        <w:t>Classification</w:t>
      </w:r>
      <w:r>
        <w:rPr>
          <w:spacing w:val="-10"/>
          <w:sz w:val="24"/>
        </w:rPr>
        <w:t xml:space="preserve"> </w:t>
      </w:r>
      <w:r>
        <w:rPr>
          <w:sz w:val="24"/>
        </w:rPr>
        <w:t>of</w:t>
      </w:r>
      <w:r>
        <w:rPr>
          <w:spacing w:val="-5"/>
          <w:sz w:val="24"/>
        </w:rPr>
        <w:t xml:space="preserve"> </w:t>
      </w:r>
      <w:r>
        <w:rPr>
          <w:sz w:val="24"/>
        </w:rPr>
        <w:t>customers</w:t>
      </w:r>
      <w:r>
        <w:rPr>
          <w:spacing w:val="-9"/>
          <w:sz w:val="24"/>
        </w:rPr>
        <w:t xml:space="preserve"> </w:t>
      </w:r>
      <w:r>
        <w:rPr>
          <w:sz w:val="24"/>
        </w:rPr>
        <w:t>into</w:t>
      </w:r>
      <w:r>
        <w:rPr>
          <w:spacing w:val="-5"/>
          <w:sz w:val="24"/>
        </w:rPr>
        <w:t xml:space="preserve"> </w:t>
      </w:r>
      <w:r>
        <w:rPr>
          <w:sz w:val="24"/>
        </w:rPr>
        <w:t>various</w:t>
      </w:r>
      <w:r>
        <w:rPr>
          <w:spacing w:val="-6"/>
          <w:sz w:val="24"/>
        </w:rPr>
        <w:t xml:space="preserve"> </w:t>
      </w:r>
      <w:r>
        <w:rPr>
          <w:sz w:val="24"/>
        </w:rPr>
        <w:t>categories</w:t>
      </w:r>
      <w:r>
        <w:rPr>
          <w:spacing w:val="1"/>
          <w:sz w:val="24"/>
        </w:rPr>
        <w:t xml:space="preserve"> </w:t>
      </w:r>
      <w:r>
        <w:rPr>
          <w:sz w:val="24"/>
        </w:rPr>
        <w:t>on</w:t>
      </w:r>
      <w:r>
        <w:rPr>
          <w:spacing w:val="-5"/>
          <w:sz w:val="24"/>
        </w:rPr>
        <w:t xml:space="preserve"> </w:t>
      </w:r>
      <w:r>
        <w:rPr>
          <w:sz w:val="24"/>
        </w:rPr>
        <w:t>the</w:t>
      </w:r>
      <w:r>
        <w:rPr>
          <w:spacing w:val="-5"/>
          <w:sz w:val="24"/>
        </w:rPr>
        <w:t xml:space="preserve"> </w:t>
      </w:r>
      <w:r>
        <w:rPr>
          <w:sz w:val="24"/>
        </w:rPr>
        <w:t>basis</w:t>
      </w:r>
      <w:r>
        <w:rPr>
          <w:spacing w:val="-4"/>
          <w:sz w:val="24"/>
        </w:rPr>
        <w:t xml:space="preserve"> </w:t>
      </w:r>
      <w:r>
        <w:rPr>
          <w:sz w:val="24"/>
        </w:rPr>
        <w:t>of</w:t>
      </w:r>
      <w:r>
        <w:rPr>
          <w:spacing w:val="-5"/>
          <w:sz w:val="24"/>
        </w:rPr>
        <w:t xml:space="preserve"> </w:t>
      </w:r>
      <w:r>
        <w:rPr>
          <w:sz w:val="24"/>
        </w:rPr>
        <w:t>risk</w:t>
      </w:r>
      <w:r>
        <w:rPr>
          <w:spacing w:val="-5"/>
          <w:sz w:val="24"/>
        </w:rPr>
        <w:t xml:space="preserve"> </w:t>
      </w:r>
      <w:r>
        <w:rPr>
          <w:sz w:val="24"/>
        </w:rPr>
        <w:t>perception.</w:t>
      </w:r>
    </w:p>
    <w:p w14:paraId="19783052" w14:textId="77777777" w:rsidR="00FE5B4C" w:rsidRDefault="00000000">
      <w:pPr>
        <w:pStyle w:val="ListParagraph"/>
        <w:numPr>
          <w:ilvl w:val="0"/>
          <w:numId w:val="1"/>
        </w:numPr>
        <w:tabs>
          <w:tab w:val="left" w:pos="686"/>
          <w:tab w:val="left" w:pos="687"/>
        </w:tabs>
        <w:ind w:right="137"/>
        <w:rPr>
          <w:sz w:val="24"/>
        </w:rPr>
      </w:pPr>
      <w:r>
        <w:rPr>
          <w:sz w:val="24"/>
        </w:rPr>
        <w:t>Identification of the Customers as per Customer Identification Procedures before acceptance of</w:t>
      </w:r>
      <w:r>
        <w:rPr>
          <w:spacing w:val="-7"/>
          <w:sz w:val="24"/>
        </w:rPr>
        <w:t xml:space="preserve"> </w:t>
      </w:r>
      <w:r>
        <w:rPr>
          <w:sz w:val="24"/>
        </w:rPr>
        <w:t>Customers.</w:t>
      </w:r>
    </w:p>
    <w:p w14:paraId="32E27C1A" w14:textId="77777777" w:rsidR="00FE5B4C" w:rsidRDefault="00FE5B4C">
      <w:pPr>
        <w:rPr>
          <w:sz w:val="24"/>
        </w:rPr>
        <w:sectPr w:rsidR="00FE5B4C">
          <w:footerReference w:type="default" r:id="rId7"/>
          <w:type w:val="continuous"/>
          <w:pgSz w:w="11900" w:h="16840"/>
          <w:pgMar w:top="1440" w:right="1260" w:bottom="1180" w:left="1320" w:header="720" w:footer="996" w:gutter="0"/>
          <w:pgNumType w:start="1"/>
          <w:cols w:space="720"/>
        </w:sectPr>
      </w:pPr>
    </w:p>
    <w:p w14:paraId="35BFC1C5" w14:textId="77777777" w:rsidR="00FE5B4C" w:rsidRDefault="00000000">
      <w:pPr>
        <w:pStyle w:val="ListParagraph"/>
        <w:numPr>
          <w:ilvl w:val="0"/>
          <w:numId w:val="1"/>
        </w:numPr>
        <w:tabs>
          <w:tab w:val="left" w:pos="686"/>
          <w:tab w:val="left" w:pos="687"/>
          <w:tab w:val="left" w:pos="8117"/>
        </w:tabs>
        <w:spacing w:before="32"/>
        <w:ind w:right="137"/>
        <w:rPr>
          <w:sz w:val="24"/>
        </w:rPr>
      </w:pPr>
      <w:r>
        <w:rPr>
          <w:sz w:val="24"/>
        </w:rPr>
        <w:lastRenderedPageBreak/>
        <w:t>Obtaining  the  relevant  information  from  the  customers  at  the</w:t>
      </w:r>
      <w:r>
        <w:rPr>
          <w:spacing w:val="13"/>
          <w:sz w:val="24"/>
        </w:rPr>
        <w:t xml:space="preserve"> </w:t>
      </w:r>
      <w:r>
        <w:rPr>
          <w:sz w:val="24"/>
        </w:rPr>
        <w:t>time</w:t>
      </w:r>
      <w:r>
        <w:rPr>
          <w:spacing w:val="57"/>
          <w:sz w:val="24"/>
        </w:rPr>
        <w:t xml:space="preserve"> </w:t>
      </w:r>
      <w:r>
        <w:rPr>
          <w:sz w:val="24"/>
        </w:rPr>
        <w:t>of</w:t>
      </w:r>
      <w:r>
        <w:rPr>
          <w:sz w:val="24"/>
        </w:rPr>
        <w:tab/>
      </w:r>
      <w:r>
        <w:rPr>
          <w:spacing w:val="-1"/>
          <w:sz w:val="24"/>
        </w:rPr>
        <w:t xml:space="preserve">truncations </w:t>
      </w:r>
      <w:r>
        <w:rPr>
          <w:sz w:val="24"/>
        </w:rPr>
        <w:t>carried out for the purpose of risk</w:t>
      </w:r>
      <w:r>
        <w:rPr>
          <w:spacing w:val="-27"/>
          <w:sz w:val="24"/>
        </w:rPr>
        <w:t xml:space="preserve"> </w:t>
      </w:r>
      <w:r>
        <w:rPr>
          <w:sz w:val="24"/>
        </w:rPr>
        <w:t>categorization.</w:t>
      </w:r>
    </w:p>
    <w:p w14:paraId="1879719E" w14:textId="77777777" w:rsidR="00FE5B4C" w:rsidRDefault="00FE5B4C">
      <w:pPr>
        <w:pStyle w:val="BodyText"/>
        <w:rPr>
          <w:sz w:val="25"/>
        </w:rPr>
      </w:pPr>
    </w:p>
    <w:p w14:paraId="06088614" w14:textId="77777777" w:rsidR="00FE5B4C" w:rsidRDefault="00000000">
      <w:pPr>
        <w:pStyle w:val="BodyText"/>
        <w:ind w:left="119"/>
        <w:jc w:val="both"/>
      </w:pPr>
      <w:r>
        <w:rPr>
          <w:w w:val="110"/>
          <w:u w:val="thick"/>
        </w:rPr>
        <w:t>Customer Identification Procedures</w:t>
      </w:r>
    </w:p>
    <w:p w14:paraId="100C7247" w14:textId="77777777" w:rsidR="00FE5B4C" w:rsidRDefault="00000000">
      <w:pPr>
        <w:pStyle w:val="BodyText"/>
        <w:spacing w:before="15"/>
        <w:ind w:left="120" w:right="135"/>
        <w:jc w:val="both"/>
      </w:pPr>
      <w:r>
        <w:t>The policy approved by the Board of Directors should clearly spell out the Customer Identification Procedure to be carried out at different stages i.e. while establishing a business relationship; carrying out a financial transaction or when the Company has a doubt about the authenticity/veracity or the adequacy of the previously obtained customer identification data.</w:t>
      </w:r>
    </w:p>
    <w:p w14:paraId="4888CC6F" w14:textId="77777777" w:rsidR="00FE5B4C" w:rsidRDefault="00FE5B4C">
      <w:pPr>
        <w:pStyle w:val="BodyText"/>
        <w:spacing w:before="1"/>
        <w:rPr>
          <w:sz w:val="27"/>
        </w:rPr>
      </w:pPr>
    </w:p>
    <w:p w14:paraId="43179278" w14:textId="77777777" w:rsidR="00FE5B4C" w:rsidRDefault="00000000">
      <w:pPr>
        <w:pStyle w:val="BodyText"/>
        <w:ind w:left="120" w:right="136"/>
        <w:jc w:val="both"/>
      </w:pPr>
      <w:r>
        <w:t xml:space="preserve">Customer identification means identifying the customer and verifying his/her identity </w:t>
      </w:r>
      <w:r>
        <w:rPr>
          <w:spacing w:val="4"/>
        </w:rPr>
        <w:t xml:space="preserve">by </w:t>
      </w:r>
      <w:r>
        <w:t>using reliable, independent source documents, data or information. The Company will obtain sufficient information necessary to establish, to its satisfaction, the identity of each new customer, whether regular or occasional, and the purpose of the intended nature of business relationship. Being satisfied means that the Company must be able to satisfy the competent authorities that due diligence was observed based on the risk profile of the customer in compliance with the extant guidelines in place. Such risk-based approach is considered necessary to avoid disproportionate cost to Company and a burdensome regime for the customers. Besides risk perception, the nature of information/documents required would also depend on the type of customer (individual, corporate</w:t>
      </w:r>
      <w:r>
        <w:rPr>
          <w:spacing w:val="5"/>
        </w:rPr>
        <w:t xml:space="preserve"> </w:t>
      </w:r>
      <w:r>
        <w:t>etc).</w:t>
      </w:r>
    </w:p>
    <w:p w14:paraId="7A5ADEC1" w14:textId="77777777" w:rsidR="00FE5B4C" w:rsidRDefault="00FE5B4C">
      <w:pPr>
        <w:pStyle w:val="BodyText"/>
        <w:spacing w:before="2"/>
        <w:rPr>
          <w:sz w:val="27"/>
        </w:rPr>
      </w:pPr>
    </w:p>
    <w:p w14:paraId="0B20982A" w14:textId="77777777" w:rsidR="00FE5B4C" w:rsidRDefault="00000000">
      <w:pPr>
        <w:pStyle w:val="BodyText"/>
        <w:ind w:left="120" w:right="135"/>
        <w:jc w:val="both"/>
      </w:pPr>
      <w:r>
        <w:t xml:space="preserve">For customers that </w:t>
      </w:r>
      <w:r>
        <w:rPr>
          <w:spacing w:val="2"/>
        </w:rPr>
        <w:t xml:space="preserve">are </w:t>
      </w:r>
      <w:r>
        <w:rPr>
          <w:spacing w:val="3"/>
        </w:rPr>
        <w:t xml:space="preserve">natural </w:t>
      </w:r>
      <w:r>
        <w:t xml:space="preserve">persons, the </w:t>
      </w:r>
      <w:r>
        <w:rPr>
          <w:spacing w:val="2"/>
        </w:rPr>
        <w:t xml:space="preserve">Company </w:t>
      </w:r>
      <w:r>
        <w:t xml:space="preserve">will obtain  sufficient identification  data to verify the identity of the customer, his address/location, and also his recent photograph. For customers that are legal persons or entities, the Company will (i) verify the legal status of the legal person/entity through  proper  and  relevant  documents  (ii)  verify that </w:t>
      </w:r>
      <w:r>
        <w:rPr>
          <w:spacing w:val="2"/>
        </w:rPr>
        <w:t xml:space="preserve">any </w:t>
      </w:r>
      <w:r>
        <w:t>person purporting to act on behalf of the legal person/entity is so authorized and identify and verify the identity of that person, (iii) understand the ownership and control structure of the customer and determine who are the natural persons who ultimately control the legal person. Customer identification requirements in respect of a few typical cases, especially, legal persons requiring an extra element of caution are given in Annexure-I for guidance of</w:t>
      </w:r>
      <w:r>
        <w:rPr>
          <w:spacing w:val="10"/>
        </w:rPr>
        <w:t xml:space="preserve"> </w:t>
      </w:r>
      <w:r>
        <w:t>Company.</w:t>
      </w:r>
    </w:p>
    <w:p w14:paraId="7C7A3515" w14:textId="77777777" w:rsidR="00FE5B4C" w:rsidRDefault="00FE5B4C">
      <w:pPr>
        <w:pStyle w:val="BodyText"/>
        <w:spacing w:before="2"/>
        <w:rPr>
          <w:sz w:val="27"/>
        </w:rPr>
      </w:pPr>
    </w:p>
    <w:p w14:paraId="77535ED0" w14:textId="77777777" w:rsidR="00FE5B4C" w:rsidRDefault="00000000">
      <w:pPr>
        <w:pStyle w:val="BodyText"/>
        <w:ind w:left="120" w:right="135"/>
        <w:jc w:val="both"/>
      </w:pPr>
      <w:r>
        <w:t>The Company has framed its own internal guidelines based on their experience of dealing with such persons/entities, normal lender’ prudence and the legal requirements as per established practices. Company will take reasonable measures to identify the beneficial owner(s) and verify his/her/their identity in a  manner so that it  is satisfied that it  knows  who the beneficial owner(s) is/are. An indicative list of the nature and type of documents/information that may be relied upon for customer identification is given in the Annexure-I. In the view of emerging business environment, the documents requirement will be reviewed periodically as and when require updating. The Board of Directors and management team is empowered to make amendment as and when required to the list of document required for Customer Identification</w:t>
      </w:r>
      <w:r>
        <w:rPr>
          <w:spacing w:val="-27"/>
        </w:rPr>
        <w:t xml:space="preserve"> </w:t>
      </w:r>
      <w:r>
        <w:t>Procedure.</w:t>
      </w:r>
    </w:p>
    <w:p w14:paraId="546938E3" w14:textId="77777777" w:rsidR="00FE5B4C" w:rsidRDefault="00FE5B4C">
      <w:pPr>
        <w:pStyle w:val="BodyText"/>
        <w:spacing w:before="10"/>
        <w:rPr>
          <w:sz w:val="30"/>
        </w:rPr>
      </w:pPr>
    </w:p>
    <w:p w14:paraId="63B848E2" w14:textId="77777777" w:rsidR="00FE5B4C" w:rsidRDefault="00000000">
      <w:pPr>
        <w:pStyle w:val="BodyText"/>
        <w:ind w:left="120"/>
        <w:jc w:val="both"/>
      </w:pPr>
      <w:r>
        <w:rPr>
          <w:w w:val="105"/>
          <w:u w:val="thick"/>
        </w:rPr>
        <w:t>Monitoring of Transactions</w:t>
      </w:r>
    </w:p>
    <w:p w14:paraId="2FD0FFF0" w14:textId="77777777" w:rsidR="00FE5B4C" w:rsidRDefault="00000000">
      <w:pPr>
        <w:pStyle w:val="BodyText"/>
        <w:spacing w:before="12"/>
        <w:ind w:left="120" w:right="135"/>
        <w:jc w:val="both"/>
      </w:pPr>
      <w:r>
        <w:t xml:space="preserve">Ongoing monitoring is an essential element of effective KYC procedures. The Company can effectively control and reduce their risk only if </w:t>
      </w:r>
      <w:r>
        <w:rPr>
          <w:spacing w:val="2"/>
        </w:rPr>
        <w:t xml:space="preserve">they </w:t>
      </w:r>
      <w:r>
        <w:t>have an understanding of the normal and reasonable activity of the customer so that they have the  means of identifying transactions that fall outside the regular pattern of activity. However, the extent of  monitoring  will depend</w:t>
      </w:r>
      <w:r>
        <w:rPr>
          <w:spacing w:val="18"/>
        </w:rPr>
        <w:t xml:space="preserve"> </w:t>
      </w:r>
      <w:r>
        <w:t>on</w:t>
      </w:r>
      <w:r>
        <w:rPr>
          <w:spacing w:val="24"/>
        </w:rPr>
        <w:t xml:space="preserve"> </w:t>
      </w:r>
      <w:r>
        <w:t>the</w:t>
      </w:r>
      <w:r>
        <w:rPr>
          <w:spacing w:val="13"/>
        </w:rPr>
        <w:t xml:space="preserve"> </w:t>
      </w:r>
      <w:r>
        <w:t>risk</w:t>
      </w:r>
      <w:r>
        <w:rPr>
          <w:spacing w:val="19"/>
        </w:rPr>
        <w:t xml:space="preserve"> </w:t>
      </w:r>
      <w:r>
        <w:t>sensitivity</w:t>
      </w:r>
      <w:r>
        <w:rPr>
          <w:spacing w:val="12"/>
        </w:rPr>
        <w:t xml:space="preserve"> </w:t>
      </w:r>
      <w:r>
        <w:t>of</w:t>
      </w:r>
      <w:r>
        <w:rPr>
          <w:spacing w:val="21"/>
        </w:rPr>
        <w:t xml:space="preserve"> </w:t>
      </w:r>
      <w:r>
        <w:t>the</w:t>
      </w:r>
      <w:r>
        <w:rPr>
          <w:spacing w:val="21"/>
        </w:rPr>
        <w:t xml:space="preserve"> </w:t>
      </w:r>
      <w:r>
        <w:t>account.</w:t>
      </w:r>
      <w:r>
        <w:rPr>
          <w:spacing w:val="18"/>
        </w:rPr>
        <w:t xml:space="preserve"> </w:t>
      </w:r>
      <w:r>
        <w:t>The</w:t>
      </w:r>
      <w:r>
        <w:rPr>
          <w:spacing w:val="19"/>
        </w:rPr>
        <w:t xml:space="preserve"> </w:t>
      </w:r>
      <w:r>
        <w:t>Company</w:t>
      </w:r>
      <w:r>
        <w:rPr>
          <w:spacing w:val="14"/>
        </w:rPr>
        <w:t xml:space="preserve"> </w:t>
      </w:r>
      <w:r>
        <w:t>will</w:t>
      </w:r>
      <w:r>
        <w:rPr>
          <w:spacing w:val="20"/>
        </w:rPr>
        <w:t xml:space="preserve"> </w:t>
      </w:r>
      <w:r>
        <w:t>pay</w:t>
      </w:r>
      <w:r>
        <w:rPr>
          <w:spacing w:val="19"/>
        </w:rPr>
        <w:t xml:space="preserve"> </w:t>
      </w:r>
      <w:r>
        <w:t>special</w:t>
      </w:r>
      <w:r>
        <w:rPr>
          <w:spacing w:val="21"/>
        </w:rPr>
        <w:t xml:space="preserve"> </w:t>
      </w:r>
      <w:r>
        <w:t>attention</w:t>
      </w:r>
      <w:r>
        <w:rPr>
          <w:spacing w:val="18"/>
        </w:rPr>
        <w:t xml:space="preserve"> </w:t>
      </w:r>
      <w:r>
        <w:t>to</w:t>
      </w:r>
      <w:r>
        <w:rPr>
          <w:spacing w:val="21"/>
        </w:rPr>
        <w:t xml:space="preserve"> </w:t>
      </w:r>
      <w:r>
        <w:t>all</w:t>
      </w:r>
    </w:p>
    <w:p w14:paraId="7FF75AFF" w14:textId="77777777" w:rsidR="00FE5B4C" w:rsidRDefault="00FE5B4C">
      <w:pPr>
        <w:jc w:val="both"/>
        <w:sectPr w:rsidR="00FE5B4C">
          <w:pgSz w:w="11900" w:h="16840"/>
          <w:pgMar w:top="1400" w:right="1260" w:bottom="1180" w:left="1320" w:header="0" w:footer="996" w:gutter="0"/>
          <w:cols w:space="720"/>
        </w:sectPr>
      </w:pPr>
    </w:p>
    <w:p w14:paraId="4F6AED69" w14:textId="77777777" w:rsidR="00FE5B4C" w:rsidRDefault="00000000">
      <w:pPr>
        <w:pStyle w:val="BodyText"/>
        <w:spacing w:before="32"/>
        <w:ind w:left="119" w:right="138"/>
        <w:jc w:val="both"/>
      </w:pPr>
      <w:r>
        <w:lastRenderedPageBreak/>
        <w:t>complex, unusually large transactions and all unusual patterns, which have no apparent economic or visible lawful purpose in such type of transactions.</w:t>
      </w:r>
    </w:p>
    <w:p w14:paraId="5422A9E3" w14:textId="77777777" w:rsidR="00FE5B4C" w:rsidRDefault="00FE5B4C">
      <w:pPr>
        <w:pStyle w:val="BodyText"/>
        <w:spacing w:before="2"/>
      </w:pPr>
    </w:p>
    <w:p w14:paraId="50DC5403" w14:textId="77777777" w:rsidR="00FE5B4C" w:rsidRDefault="00000000">
      <w:pPr>
        <w:pStyle w:val="BodyText"/>
        <w:ind w:left="119" w:right="135"/>
        <w:jc w:val="both"/>
      </w:pPr>
      <w:r>
        <w:t xml:space="preserve">The  Company  will  ensure  that  a  record  of  transactions  in  the  accounts  is  preserved and maintained as required in terms of section 12 of the PML Act, 2002. It may also be ensured that transactions of suspicious nature and/ or any other type of transaction notified under section 12 of the </w:t>
      </w:r>
      <w:r>
        <w:rPr>
          <w:spacing w:val="2"/>
        </w:rPr>
        <w:t xml:space="preserve">PML </w:t>
      </w:r>
      <w:r>
        <w:t xml:space="preserve">Act, 2002, shall be reported to the appropriate law enforcement authority </w:t>
      </w:r>
      <w:r>
        <w:rPr>
          <w:spacing w:val="4"/>
        </w:rPr>
        <w:t xml:space="preserve">by </w:t>
      </w:r>
      <w:r>
        <w:t>the Principal Officer.</w:t>
      </w:r>
    </w:p>
    <w:p w14:paraId="2F8FDC2B" w14:textId="77777777" w:rsidR="00FE5B4C" w:rsidRDefault="00FE5B4C">
      <w:pPr>
        <w:pStyle w:val="BodyText"/>
        <w:spacing w:before="3"/>
        <w:rPr>
          <w:sz w:val="25"/>
        </w:rPr>
      </w:pPr>
    </w:p>
    <w:p w14:paraId="3CFE38BC" w14:textId="77777777" w:rsidR="00FE5B4C" w:rsidRDefault="00000000">
      <w:pPr>
        <w:pStyle w:val="BodyText"/>
        <w:ind w:left="119"/>
        <w:jc w:val="both"/>
      </w:pPr>
      <w:r>
        <w:rPr>
          <w:w w:val="105"/>
          <w:u w:val="thick"/>
        </w:rPr>
        <w:t>Risk Management</w:t>
      </w:r>
    </w:p>
    <w:p w14:paraId="7FD35956" w14:textId="77777777" w:rsidR="00FE5B4C" w:rsidRDefault="00000000">
      <w:pPr>
        <w:pStyle w:val="BodyText"/>
        <w:spacing w:before="15"/>
        <w:ind w:left="119" w:right="135"/>
        <w:jc w:val="both"/>
      </w:pPr>
      <w:r>
        <w:t xml:space="preserve">The Board of Directors of the Company ensures that an effective KYC programme is put in place </w:t>
      </w:r>
      <w:r>
        <w:rPr>
          <w:spacing w:val="3"/>
        </w:rPr>
        <w:t xml:space="preserve">by </w:t>
      </w:r>
      <w:r>
        <w:t xml:space="preserve">establishing appropriate procedures and ensuring their effective implementation. It will cover proper management oversight, systems and controls, segregation of duties, training and other related matters. Responsibility should be explicitly allocated within the Company for ensuring that the Company’s policies and procedures are implemented effectively. The Company may, in consultation with their boards, devise procedures for creating Risk Profiles of their existing and new customers and apply various Anti </w:t>
      </w:r>
      <w:r>
        <w:rPr>
          <w:spacing w:val="2"/>
        </w:rPr>
        <w:t xml:space="preserve">Money </w:t>
      </w:r>
      <w:r>
        <w:t>Laundering measures keeping in view the risks involved in a transaction, account or business</w:t>
      </w:r>
      <w:r>
        <w:rPr>
          <w:spacing w:val="-9"/>
        </w:rPr>
        <w:t xml:space="preserve"> </w:t>
      </w:r>
      <w:r>
        <w:t>relationship.</w:t>
      </w:r>
    </w:p>
    <w:p w14:paraId="6A173EA9" w14:textId="77777777" w:rsidR="00FE5B4C" w:rsidRDefault="00FE5B4C">
      <w:pPr>
        <w:pStyle w:val="BodyText"/>
        <w:spacing w:before="2"/>
      </w:pPr>
    </w:p>
    <w:p w14:paraId="18CBD481" w14:textId="77777777" w:rsidR="00FE5B4C" w:rsidRDefault="00000000">
      <w:pPr>
        <w:pStyle w:val="BodyText"/>
        <w:ind w:left="119" w:right="135"/>
        <w:jc w:val="both"/>
      </w:pPr>
      <w:r>
        <w:t>The Company’s internal audit and compliance functions have an important role in evaluating and ensuring adherence to the KYC policies and procedures. As a general rule, the compliance function provides an independent evaluation of its own policies and procedures, including legal and regulatory requirements. The Company should ensure that its audit machinery is staffed adequately with individuals who are well versed in such policies and procedures when needed. Concurrent/Internal Auditors should specifically check and verify the application of KYC procedures at the branches and comment on the lapses observed in this regard. The compliance in this regard may be put up before the Audit Committee of the Board on quarterly</w:t>
      </w:r>
      <w:r>
        <w:rPr>
          <w:spacing w:val="-17"/>
        </w:rPr>
        <w:t xml:space="preserve"> </w:t>
      </w:r>
      <w:r>
        <w:t>intervals.</w:t>
      </w:r>
    </w:p>
    <w:p w14:paraId="5EA41D0C" w14:textId="77777777" w:rsidR="00FE5B4C" w:rsidRDefault="00FE5B4C">
      <w:pPr>
        <w:pStyle w:val="BodyText"/>
        <w:spacing w:before="5"/>
      </w:pPr>
    </w:p>
    <w:p w14:paraId="58FB3A70" w14:textId="77777777" w:rsidR="00FE5B4C" w:rsidRDefault="00000000">
      <w:pPr>
        <w:pStyle w:val="BodyText"/>
        <w:ind w:left="119" w:right="138"/>
        <w:jc w:val="both"/>
      </w:pPr>
      <w:r>
        <w:t>The Company must have an ongoing employee-training programme so that the members of the staff are adequately trained in KYC procedures when required. Training requirements should have different focuses for frontline staff, compliance staff and staff dealing with new customers. It is crucial that all those concerned fully understand the rationale behind  the KYC policies and implement them</w:t>
      </w:r>
      <w:r>
        <w:rPr>
          <w:spacing w:val="-5"/>
        </w:rPr>
        <w:t xml:space="preserve"> </w:t>
      </w:r>
      <w:r>
        <w:t>consistently.</w:t>
      </w:r>
    </w:p>
    <w:p w14:paraId="38FDB5CD" w14:textId="77777777" w:rsidR="00FE5B4C" w:rsidRDefault="00FE5B4C">
      <w:pPr>
        <w:pStyle w:val="BodyText"/>
        <w:spacing w:before="1"/>
        <w:rPr>
          <w:sz w:val="25"/>
        </w:rPr>
      </w:pPr>
    </w:p>
    <w:p w14:paraId="78344E83" w14:textId="77777777" w:rsidR="00FE5B4C" w:rsidRDefault="00000000">
      <w:pPr>
        <w:pStyle w:val="BodyText"/>
        <w:ind w:left="119"/>
        <w:jc w:val="both"/>
      </w:pPr>
      <w:r>
        <w:rPr>
          <w:w w:val="110"/>
          <w:u w:val="thick"/>
        </w:rPr>
        <w:t>Customer Education</w:t>
      </w:r>
    </w:p>
    <w:p w14:paraId="09B4FE04" w14:textId="77777777" w:rsidR="00FE5B4C" w:rsidRDefault="00000000">
      <w:pPr>
        <w:pStyle w:val="BodyText"/>
        <w:spacing w:before="14"/>
        <w:ind w:left="120" w:right="137"/>
        <w:jc w:val="both"/>
      </w:pPr>
      <w:r>
        <w:t xml:space="preserve">Implementation of KYC procedures requires Company  to  demand  certain  information  from customers which may be of personal nature or which have hitherto never been called  for. This can sometimes lead to a lot of questioning </w:t>
      </w:r>
      <w:r>
        <w:rPr>
          <w:spacing w:val="3"/>
        </w:rPr>
        <w:t xml:space="preserve">by </w:t>
      </w:r>
      <w:r>
        <w:t>the customer as to the motive and purpose of collecting such information. Therefore, the Company needs to prepare specific literature/pamphlets etc. so as to educate the customer of the objectives of the KYC programme. The front desk staff needs to be specially trained to handle such situations while dealing with</w:t>
      </w:r>
      <w:r>
        <w:rPr>
          <w:spacing w:val="-9"/>
        </w:rPr>
        <w:t xml:space="preserve"> </w:t>
      </w:r>
      <w:r>
        <w:t>customers.</w:t>
      </w:r>
    </w:p>
    <w:p w14:paraId="7F818DD5" w14:textId="77777777" w:rsidR="00FE5B4C" w:rsidRDefault="00FE5B4C">
      <w:pPr>
        <w:pStyle w:val="BodyText"/>
        <w:spacing w:before="3"/>
        <w:rPr>
          <w:sz w:val="25"/>
        </w:rPr>
      </w:pPr>
    </w:p>
    <w:p w14:paraId="282B0EEE" w14:textId="77777777" w:rsidR="00FE5B4C" w:rsidRDefault="00000000">
      <w:pPr>
        <w:pStyle w:val="BodyText"/>
        <w:ind w:left="120"/>
        <w:jc w:val="both"/>
      </w:pPr>
      <w:r>
        <w:rPr>
          <w:w w:val="105"/>
          <w:u w:val="thick"/>
        </w:rPr>
        <w:t>Introduction of New Technologies – Credit cards</w:t>
      </w:r>
    </w:p>
    <w:p w14:paraId="16E87F54" w14:textId="77777777" w:rsidR="00FE5B4C" w:rsidRDefault="00000000">
      <w:pPr>
        <w:pStyle w:val="BodyText"/>
        <w:spacing w:before="15"/>
        <w:ind w:left="119" w:right="135"/>
        <w:jc w:val="both"/>
      </w:pPr>
      <w:r>
        <w:t xml:space="preserve">The Company will pay special attention to any money laundering threats  that  may  arise from new or developing technologies including internet banking  that  might  favor anonymity, and take measures, if needed, to prevent their use  in  money  laundering  schemes. Many Companies are engaged in the business of issuing a variety of Electronic Cards that are used </w:t>
      </w:r>
      <w:r>
        <w:rPr>
          <w:spacing w:val="4"/>
        </w:rPr>
        <w:t xml:space="preserve">by </w:t>
      </w:r>
      <w:r>
        <w:t>customers for buying goods and services, drawing cash from</w:t>
      </w:r>
      <w:r>
        <w:rPr>
          <w:spacing w:val="-2"/>
        </w:rPr>
        <w:t xml:space="preserve"> </w:t>
      </w:r>
      <w:r>
        <w:t>ATMs,</w:t>
      </w:r>
    </w:p>
    <w:p w14:paraId="70697C33" w14:textId="77777777" w:rsidR="00FE5B4C" w:rsidRDefault="00FE5B4C">
      <w:pPr>
        <w:jc w:val="both"/>
        <w:sectPr w:rsidR="00FE5B4C">
          <w:pgSz w:w="11900" w:h="16840"/>
          <w:pgMar w:top="1400" w:right="1260" w:bottom="1180" w:left="1320" w:header="0" w:footer="996" w:gutter="0"/>
          <w:cols w:space="720"/>
        </w:sectPr>
      </w:pPr>
    </w:p>
    <w:p w14:paraId="19CEA3B2" w14:textId="77777777" w:rsidR="00FE5B4C" w:rsidRDefault="00000000">
      <w:pPr>
        <w:pStyle w:val="BodyText"/>
        <w:spacing w:before="32"/>
        <w:ind w:left="119" w:right="140"/>
        <w:jc w:val="both"/>
      </w:pPr>
      <w:r>
        <w:lastRenderedPageBreak/>
        <w:t>and can be used for electronic transfer of funds. Further, marketing of these cards is generally done through the services of agents. The Company ensures that appropriate KYC procedures are duly applied before issuing the cards to the customers. It is also desirable that agents are also subjected to KYC measures.</w:t>
      </w:r>
    </w:p>
    <w:p w14:paraId="276A9E2F" w14:textId="77777777" w:rsidR="00FE5B4C" w:rsidRDefault="00FE5B4C">
      <w:pPr>
        <w:pStyle w:val="BodyText"/>
        <w:spacing w:before="4"/>
      </w:pPr>
    </w:p>
    <w:p w14:paraId="40434598" w14:textId="77777777" w:rsidR="00FE5B4C" w:rsidRDefault="00000000">
      <w:pPr>
        <w:pStyle w:val="BodyText"/>
        <w:spacing w:before="1"/>
        <w:ind w:left="119" w:right="140"/>
        <w:jc w:val="both"/>
      </w:pPr>
      <w:r>
        <w:t>Presently, the Company is not doing Credit Cards Business but will follows the guidelines as and when required.</w:t>
      </w:r>
    </w:p>
    <w:p w14:paraId="6FD1ADDC" w14:textId="77777777" w:rsidR="00FE5B4C" w:rsidRDefault="00FE5B4C">
      <w:pPr>
        <w:pStyle w:val="BodyText"/>
        <w:spacing w:before="2"/>
        <w:rPr>
          <w:sz w:val="25"/>
        </w:rPr>
      </w:pPr>
    </w:p>
    <w:p w14:paraId="5A07C25D" w14:textId="77777777" w:rsidR="00FE5B4C" w:rsidRDefault="00000000">
      <w:pPr>
        <w:pStyle w:val="BodyText"/>
        <w:spacing w:before="1"/>
        <w:ind w:left="119"/>
        <w:jc w:val="both"/>
      </w:pPr>
      <w:r>
        <w:rPr>
          <w:w w:val="110"/>
          <w:u w:val="thick"/>
        </w:rPr>
        <w:t>Applicability to branches and subsidiaries outside India</w:t>
      </w:r>
    </w:p>
    <w:p w14:paraId="76B843EC" w14:textId="77777777" w:rsidR="00FE5B4C" w:rsidRDefault="00000000">
      <w:pPr>
        <w:pStyle w:val="BodyText"/>
        <w:spacing w:before="14"/>
        <w:ind w:left="119" w:right="135"/>
        <w:jc w:val="both"/>
      </w:pPr>
      <w:r>
        <w:t>The KYC guidelines prescribed by RBI shall also apply to the branches and majority owned subsidiaries located abroad, especially, in countries, which do not or insufficiently apply the FATF Recommendations, to the extent local laws permit. When local applicable laws and regulations prohibit implementation of these guidelines, the same should be brought to the notice of Reserve Bank.</w:t>
      </w:r>
    </w:p>
    <w:p w14:paraId="1612A248" w14:textId="77777777" w:rsidR="00FE5B4C" w:rsidRDefault="00FE5B4C">
      <w:pPr>
        <w:pStyle w:val="BodyText"/>
        <w:spacing w:before="3"/>
        <w:rPr>
          <w:sz w:val="25"/>
        </w:rPr>
      </w:pPr>
    </w:p>
    <w:p w14:paraId="63E86D36" w14:textId="77777777" w:rsidR="00FE5B4C" w:rsidRDefault="00000000">
      <w:pPr>
        <w:pStyle w:val="BodyText"/>
        <w:ind w:left="119"/>
        <w:jc w:val="both"/>
      </w:pPr>
      <w:r>
        <w:rPr>
          <w:w w:val="105"/>
          <w:u w:val="thick"/>
        </w:rPr>
        <w:t>Appointment of Principal Officer</w:t>
      </w:r>
    </w:p>
    <w:p w14:paraId="66B28E47" w14:textId="77777777" w:rsidR="00FE5B4C" w:rsidRDefault="00000000">
      <w:pPr>
        <w:pStyle w:val="BodyText"/>
        <w:spacing w:before="14"/>
        <w:ind w:left="120" w:right="135"/>
        <w:jc w:val="both"/>
      </w:pPr>
      <w:r>
        <w:t xml:space="preserve">The Company has to appoint a senior management officer to be designated as Principal Officer. Principal Officer shall be located at the head/corporate  office  of  the  bank  and  shall be responsible for monitoring and reporting of all transactions and sharing of information as required under the law. He will maintain close liaison with enforcement agencies, banks and </w:t>
      </w:r>
      <w:r>
        <w:rPr>
          <w:spacing w:val="3"/>
        </w:rPr>
        <w:t xml:space="preserve">any </w:t>
      </w:r>
      <w:r>
        <w:t>other institution, which are involved in the fight against money laundering and combating financing of</w:t>
      </w:r>
      <w:r>
        <w:rPr>
          <w:spacing w:val="-20"/>
        </w:rPr>
        <w:t xml:space="preserve"> </w:t>
      </w:r>
      <w:r>
        <w:t>terrorism.</w:t>
      </w:r>
    </w:p>
    <w:p w14:paraId="6B091594" w14:textId="77777777" w:rsidR="00FE5B4C" w:rsidRDefault="00FE5B4C">
      <w:pPr>
        <w:jc w:val="both"/>
        <w:sectPr w:rsidR="00FE5B4C">
          <w:pgSz w:w="11900" w:h="16840"/>
          <w:pgMar w:top="1400" w:right="1260" w:bottom="1180" w:left="1320" w:header="0" w:footer="996" w:gutter="0"/>
          <w:cols w:space="720"/>
        </w:sectPr>
      </w:pPr>
    </w:p>
    <w:p w14:paraId="568DBC29" w14:textId="77777777" w:rsidR="00FE5B4C" w:rsidRDefault="00000000">
      <w:pPr>
        <w:pStyle w:val="BodyText"/>
        <w:spacing w:before="35"/>
        <w:ind w:left="84" w:right="140"/>
        <w:jc w:val="center"/>
        <w:rPr>
          <w:rFonts w:ascii="Arial"/>
        </w:rPr>
      </w:pPr>
      <w:r>
        <w:rPr>
          <w:rFonts w:ascii="Arial"/>
          <w:w w:val="105"/>
          <w:u w:val="thick"/>
        </w:rPr>
        <w:lastRenderedPageBreak/>
        <w:t>Ann</w:t>
      </w:r>
      <w:r>
        <w:rPr>
          <w:w w:val="105"/>
          <w:u w:val="thick"/>
        </w:rPr>
        <w:t>e</w:t>
      </w:r>
      <w:r>
        <w:rPr>
          <w:rFonts w:ascii="Arial"/>
          <w:w w:val="105"/>
          <w:u w:val="thick"/>
        </w:rPr>
        <w:t>xu</w:t>
      </w:r>
      <w:r>
        <w:rPr>
          <w:w w:val="105"/>
          <w:u w:val="thick"/>
        </w:rPr>
        <w:t>re</w:t>
      </w:r>
      <w:r>
        <w:rPr>
          <w:rFonts w:ascii="Arial"/>
          <w:w w:val="105"/>
          <w:u w:val="thick"/>
        </w:rPr>
        <w:t>-I</w:t>
      </w:r>
    </w:p>
    <w:p w14:paraId="1678523B" w14:textId="77777777" w:rsidR="00FE5B4C" w:rsidRDefault="00FE5B4C">
      <w:pPr>
        <w:pStyle w:val="BodyText"/>
        <w:rPr>
          <w:rFonts w:ascii="Arial"/>
          <w:sz w:val="19"/>
        </w:rPr>
      </w:pPr>
    </w:p>
    <w:p w14:paraId="20F7530A" w14:textId="3E95E9F5" w:rsidR="00FE5B4C" w:rsidRDefault="005E456C">
      <w:pPr>
        <w:pStyle w:val="BodyText"/>
        <w:tabs>
          <w:tab w:val="left" w:pos="8981"/>
        </w:tabs>
        <w:spacing w:before="57"/>
        <w:ind w:left="120" w:right="173" w:hanging="1"/>
        <w:rPr>
          <w:rFonts w:ascii="Arial"/>
        </w:rPr>
      </w:pPr>
      <w:r>
        <w:rPr>
          <w:noProof/>
        </w:rPr>
        <mc:AlternateContent>
          <mc:Choice Requires="wps">
            <w:drawing>
              <wp:anchor distT="0" distB="0" distL="114300" distR="114300" simplePos="0" relativeHeight="15729152" behindDoc="0" locked="0" layoutInCell="1" allowOverlap="1" wp14:anchorId="0BFAD9CE" wp14:editId="0407E983">
                <wp:simplePos x="0" y="0"/>
                <wp:positionH relativeFrom="page">
                  <wp:posOffset>914400</wp:posOffset>
                </wp:positionH>
                <wp:positionV relativeFrom="paragraph">
                  <wp:posOffset>371475</wp:posOffset>
                </wp:positionV>
                <wp:extent cx="5701030" cy="15240"/>
                <wp:effectExtent l="0" t="0" r="0" b="0"/>
                <wp:wrapNone/>
                <wp:docPr id="144296956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1030" cy="1524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2B0C3F" id="Rectangle 2" o:spid="_x0000_s1026" style="position:absolute;margin-left:1in;margin-top:29.25pt;width:448.9pt;height:1.2pt;z-index:15729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" fillcolor="black" stroked="f">
                <w10:wrap anchorx="page"/>
              </v:rect>
            </w:pict>
          </mc:Fallback>
        </mc:AlternateContent>
      </w:r>
      <w:r w:rsidR="00000000">
        <w:rPr>
          <w:w w:val="110"/>
        </w:rPr>
        <w:t>Customer</w:t>
      </w:r>
      <w:r w:rsidR="00000000">
        <w:rPr>
          <w:spacing w:val="-9"/>
          <w:w w:val="110"/>
        </w:rPr>
        <w:t xml:space="preserve"> </w:t>
      </w:r>
      <w:r w:rsidR="00000000">
        <w:rPr>
          <w:w w:val="110"/>
        </w:rPr>
        <w:t>Identification</w:t>
      </w:r>
      <w:r w:rsidR="00000000">
        <w:rPr>
          <w:spacing w:val="-9"/>
          <w:w w:val="110"/>
        </w:rPr>
        <w:t xml:space="preserve"> </w:t>
      </w:r>
      <w:r w:rsidR="00000000">
        <w:rPr>
          <w:w w:val="110"/>
        </w:rPr>
        <w:t>Procedure</w:t>
      </w:r>
      <w:r w:rsidR="00000000">
        <w:rPr>
          <w:spacing w:val="-7"/>
          <w:w w:val="110"/>
        </w:rPr>
        <w:t xml:space="preserve"> </w:t>
      </w:r>
      <w:r w:rsidR="00000000">
        <w:rPr>
          <w:w w:val="110"/>
        </w:rPr>
        <w:t>features</w:t>
      </w:r>
      <w:r w:rsidR="00000000">
        <w:rPr>
          <w:spacing w:val="-4"/>
          <w:w w:val="110"/>
        </w:rPr>
        <w:t xml:space="preserve"> </w:t>
      </w:r>
      <w:r w:rsidR="00000000">
        <w:rPr>
          <w:w w:val="110"/>
        </w:rPr>
        <w:t>to</w:t>
      </w:r>
      <w:r w:rsidR="00000000">
        <w:rPr>
          <w:spacing w:val="-1"/>
          <w:w w:val="110"/>
        </w:rPr>
        <w:t xml:space="preserve"> </w:t>
      </w:r>
      <w:r w:rsidR="00000000">
        <w:rPr>
          <w:w w:val="110"/>
        </w:rPr>
        <w:t>be</w:t>
      </w:r>
      <w:r w:rsidR="00000000">
        <w:rPr>
          <w:spacing w:val="-4"/>
          <w:w w:val="110"/>
        </w:rPr>
        <w:t xml:space="preserve"> </w:t>
      </w:r>
      <w:r w:rsidR="00000000">
        <w:rPr>
          <w:w w:val="110"/>
        </w:rPr>
        <w:t>verified</w:t>
      </w:r>
      <w:r w:rsidR="00000000">
        <w:rPr>
          <w:spacing w:val="-5"/>
          <w:w w:val="110"/>
        </w:rPr>
        <w:t xml:space="preserve"> </w:t>
      </w:r>
      <w:r w:rsidR="00000000">
        <w:rPr>
          <w:w w:val="110"/>
        </w:rPr>
        <w:t>and</w:t>
      </w:r>
      <w:r w:rsidR="00000000">
        <w:rPr>
          <w:spacing w:val="-5"/>
          <w:w w:val="110"/>
        </w:rPr>
        <w:t xml:space="preserve"> </w:t>
      </w:r>
      <w:r w:rsidR="00000000">
        <w:rPr>
          <w:w w:val="110"/>
        </w:rPr>
        <w:t>Documents</w:t>
      </w:r>
      <w:r w:rsidR="00000000">
        <w:rPr>
          <w:spacing w:val="-9"/>
          <w:w w:val="110"/>
        </w:rPr>
        <w:t xml:space="preserve"> </w:t>
      </w:r>
      <w:r w:rsidR="00000000">
        <w:rPr>
          <w:w w:val="110"/>
        </w:rPr>
        <w:t>that</w:t>
      </w:r>
      <w:r w:rsidR="00000000">
        <w:rPr>
          <w:spacing w:val="-3"/>
          <w:w w:val="110"/>
        </w:rPr>
        <w:t xml:space="preserve"> </w:t>
      </w:r>
      <w:r w:rsidR="00000000">
        <w:rPr>
          <w:w w:val="110"/>
        </w:rPr>
        <w:t>may</w:t>
      </w:r>
      <w:r w:rsidR="00000000">
        <w:rPr>
          <w:spacing w:val="-3"/>
          <w:w w:val="110"/>
        </w:rPr>
        <w:t xml:space="preserve"> </w:t>
      </w:r>
      <w:r w:rsidR="00000000">
        <w:rPr>
          <w:rFonts w:ascii="Arial"/>
          <w:w w:val="110"/>
        </w:rPr>
        <w:t>b</w:t>
      </w:r>
      <w:r w:rsidR="00000000">
        <w:rPr>
          <w:w w:val="110"/>
        </w:rPr>
        <w:t>e obtained</w:t>
      </w:r>
      <w:r w:rsidR="00000000">
        <w:rPr>
          <w:spacing w:val="-45"/>
          <w:w w:val="110"/>
        </w:rPr>
        <w:t xml:space="preserve"> </w:t>
      </w:r>
      <w:r w:rsidR="00000000">
        <w:rPr>
          <w:w w:val="110"/>
        </w:rPr>
        <w:t>from</w:t>
      </w:r>
      <w:r w:rsidR="00000000">
        <w:rPr>
          <w:spacing w:val="-44"/>
          <w:w w:val="110"/>
        </w:rPr>
        <w:t xml:space="preserve"> </w:t>
      </w:r>
      <w:r w:rsidR="00000000">
        <w:rPr>
          <w:w w:val="110"/>
        </w:rPr>
        <w:t>the</w:t>
      </w:r>
      <w:r w:rsidR="00000000">
        <w:rPr>
          <w:spacing w:val="-43"/>
          <w:w w:val="110"/>
        </w:rPr>
        <w:t xml:space="preserve"> </w:t>
      </w:r>
      <w:r w:rsidR="00000000">
        <w:rPr>
          <w:w w:val="110"/>
        </w:rPr>
        <w:t>c</w:t>
      </w:r>
      <w:r w:rsidR="00000000">
        <w:rPr>
          <w:rFonts w:ascii="Arial"/>
          <w:w w:val="110"/>
        </w:rPr>
        <w:t>ustom</w:t>
      </w:r>
      <w:r w:rsidR="00000000">
        <w:rPr>
          <w:w w:val="110"/>
        </w:rPr>
        <w:t>er</w:t>
      </w:r>
      <w:r w:rsidR="00000000">
        <w:rPr>
          <w:rFonts w:ascii="Arial"/>
          <w:w w:val="110"/>
        </w:rPr>
        <w:t>s</w:t>
      </w:r>
      <w:r w:rsidR="00000000">
        <w:rPr>
          <w:rFonts w:ascii="Arial"/>
          <w:w w:val="110"/>
        </w:rPr>
        <w:tab/>
        <w:t>_</w:t>
      </w:r>
    </w:p>
    <w:p w14:paraId="4B39638D" w14:textId="77777777" w:rsidR="00FE5B4C" w:rsidRDefault="00FE5B4C">
      <w:pPr>
        <w:pStyle w:val="BodyText"/>
        <w:rPr>
          <w:rFonts w:ascii="Arial"/>
          <w:sz w:val="20"/>
        </w:rPr>
      </w:pPr>
    </w:p>
    <w:p w14:paraId="73ACE58C" w14:textId="77777777" w:rsidR="00FE5B4C" w:rsidRDefault="00FE5B4C">
      <w:pPr>
        <w:pStyle w:val="BodyText"/>
        <w:spacing w:before="2"/>
        <w:rPr>
          <w:rFonts w:ascii="Arial"/>
          <w:sz w:val="28"/>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20"/>
        <w:gridCol w:w="5952"/>
      </w:tblGrid>
      <w:tr w:rsidR="00FE5B4C" w14:paraId="521503EC" w14:textId="77777777">
        <w:trPr>
          <w:trHeight w:val="335"/>
        </w:trPr>
        <w:tc>
          <w:tcPr>
            <w:tcW w:w="3120" w:type="dxa"/>
          </w:tcPr>
          <w:p w14:paraId="4AEF1715" w14:textId="77777777" w:rsidR="00FE5B4C" w:rsidRDefault="00000000">
            <w:pPr>
              <w:pStyle w:val="TableParagraph"/>
              <w:spacing w:before="55" w:line="260" w:lineRule="exact"/>
              <w:ind w:left="67" w:right="25"/>
              <w:jc w:val="center"/>
              <w:rPr>
                <w:rFonts w:ascii="Arial"/>
                <w:sz w:val="24"/>
              </w:rPr>
            </w:pPr>
            <w:r>
              <w:rPr>
                <w:rFonts w:ascii="Arial"/>
                <w:w w:val="105"/>
                <w:sz w:val="24"/>
              </w:rPr>
              <w:t>Borrowers</w:t>
            </w:r>
          </w:p>
        </w:tc>
        <w:tc>
          <w:tcPr>
            <w:tcW w:w="5952" w:type="dxa"/>
          </w:tcPr>
          <w:p w14:paraId="515557C5" w14:textId="77777777" w:rsidR="00FE5B4C" w:rsidRDefault="00000000">
            <w:pPr>
              <w:pStyle w:val="TableParagraph"/>
              <w:spacing w:before="55" w:line="260" w:lineRule="exact"/>
              <w:ind w:left="2385" w:right="2343"/>
              <w:jc w:val="center"/>
              <w:rPr>
                <w:rFonts w:ascii="Arial"/>
                <w:sz w:val="24"/>
              </w:rPr>
            </w:pPr>
            <w:r>
              <w:rPr>
                <w:rFonts w:ascii="Arial"/>
                <w:sz w:val="24"/>
              </w:rPr>
              <w:t>Do</w:t>
            </w:r>
            <w:r>
              <w:rPr>
                <w:sz w:val="24"/>
              </w:rPr>
              <w:t>c</w:t>
            </w:r>
            <w:r>
              <w:rPr>
                <w:rFonts w:ascii="Arial"/>
                <w:sz w:val="24"/>
              </w:rPr>
              <w:t>um</w:t>
            </w:r>
            <w:r>
              <w:rPr>
                <w:sz w:val="24"/>
              </w:rPr>
              <w:t>e</w:t>
            </w:r>
            <w:r>
              <w:rPr>
                <w:rFonts w:ascii="Arial"/>
                <w:sz w:val="24"/>
              </w:rPr>
              <w:t>nts</w:t>
            </w:r>
          </w:p>
        </w:tc>
      </w:tr>
      <w:tr w:rsidR="00FE5B4C" w14:paraId="39B0338C" w14:textId="77777777">
        <w:trPr>
          <w:trHeight w:val="2269"/>
        </w:trPr>
        <w:tc>
          <w:tcPr>
            <w:tcW w:w="3120" w:type="dxa"/>
          </w:tcPr>
          <w:p w14:paraId="0B444908" w14:textId="77777777" w:rsidR="00FE5B4C" w:rsidRDefault="00000000">
            <w:pPr>
              <w:pStyle w:val="TableParagraph"/>
              <w:spacing w:line="273" w:lineRule="exact"/>
              <w:ind w:left="67" w:right="22"/>
              <w:jc w:val="center"/>
              <w:rPr>
                <w:rFonts w:ascii="Arial"/>
                <w:sz w:val="24"/>
              </w:rPr>
            </w:pPr>
            <w:r>
              <w:rPr>
                <w:w w:val="110"/>
                <w:sz w:val="24"/>
              </w:rPr>
              <w:t xml:space="preserve">In Case of </w:t>
            </w:r>
            <w:r>
              <w:rPr>
                <w:rFonts w:ascii="Arial"/>
                <w:w w:val="110"/>
                <w:sz w:val="24"/>
              </w:rPr>
              <w:t>Individual</w:t>
            </w:r>
          </w:p>
          <w:p w14:paraId="55B278A5" w14:textId="77777777" w:rsidR="00FE5B4C" w:rsidRDefault="00FE5B4C">
            <w:pPr>
              <w:pStyle w:val="TableParagraph"/>
              <w:ind w:left="0"/>
              <w:jc w:val="left"/>
              <w:rPr>
                <w:rFonts w:ascii="Arial"/>
                <w:sz w:val="24"/>
              </w:rPr>
            </w:pPr>
          </w:p>
          <w:p w14:paraId="3ACB2962" w14:textId="77777777" w:rsidR="00FE5B4C" w:rsidRDefault="00FE5B4C">
            <w:pPr>
              <w:pStyle w:val="TableParagraph"/>
              <w:ind w:left="0"/>
              <w:jc w:val="left"/>
              <w:rPr>
                <w:rFonts w:ascii="Arial"/>
                <w:sz w:val="24"/>
              </w:rPr>
            </w:pPr>
          </w:p>
          <w:p w14:paraId="1EFF6D78" w14:textId="77777777" w:rsidR="00FE5B4C" w:rsidRDefault="00FE5B4C">
            <w:pPr>
              <w:pStyle w:val="TableParagraph"/>
              <w:ind w:left="0"/>
              <w:jc w:val="left"/>
              <w:rPr>
                <w:rFonts w:ascii="Arial"/>
                <w:sz w:val="24"/>
              </w:rPr>
            </w:pPr>
          </w:p>
          <w:p w14:paraId="48175867" w14:textId="77777777" w:rsidR="00FE5B4C" w:rsidRDefault="00FE5B4C">
            <w:pPr>
              <w:pStyle w:val="TableParagraph"/>
              <w:ind w:left="0"/>
              <w:jc w:val="left"/>
              <w:rPr>
                <w:rFonts w:ascii="Arial"/>
                <w:sz w:val="24"/>
              </w:rPr>
            </w:pPr>
          </w:p>
          <w:p w14:paraId="42A75005" w14:textId="77777777" w:rsidR="00FE5B4C" w:rsidRDefault="00000000">
            <w:pPr>
              <w:pStyle w:val="TableParagraph"/>
              <w:spacing w:before="138"/>
              <w:ind w:left="67" w:right="22"/>
              <w:jc w:val="center"/>
              <w:rPr>
                <w:rFonts w:ascii="Arial"/>
                <w:sz w:val="24"/>
              </w:rPr>
            </w:pPr>
            <w:r>
              <w:rPr>
                <w:w w:val="110"/>
                <w:sz w:val="24"/>
              </w:rPr>
              <w:t xml:space="preserve">Permanent Address </w:t>
            </w:r>
            <w:r>
              <w:rPr>
                <w:rFonts w:ascii="Arial"/>
                <w:w w:val="110"/>
                <w:sz w:val="24"/>
              </w:rPr>
              <w:t>Proof</w:t>
            </w:r>
          </w:p>
        </w:tc>
        <w:tc>
          <w:tcPr>
            <w:tcW w:w="5952" w:type="dxa"/>
          </w:tcPr>
          <w:p w14:paraId="27B5992C" w14:textId="77777777" w:rsidR="00FE5B4C" w:rsidRDefault="00000000">
            <w:pPr>
              <w:pStyle w:val="TableParagraph"/>
              <w:ind w:right="60"/>
              <w:rPr>
                <w:sz w:val="24"/>
              </w:rPr>
            </w:pPr>
            <w:r>
              <w:rPr>
                <w:sz w:val="24"/>
              </w:rPr>
              <w:t>(i) Passport (ii) PAN Card (iii) Voter’s Identity Card (iv) Driving License (v) Identity Card (vi) Letter from a recognized public authority or public servant verifying the identity and residence of the customer.</w:t>
            </w:r>
          </w:p>
          <w:p w14:paraId="7CC20027" w14:textId="77777777" w:rsidR="00FE5B4C" w:rsidRDefault="00FE5B4C">
            <w:pPr>
              <w:pStyle w:val="TableParagraph"/>
              <w:spacing w:before="8"/>
              <w:ind w:left="0"/>
              <w:jc w:val="left"/>
              <w:rPr>
                <w:rFonts w:ascii="Arial"/>
                <w:sz w:val="28"/>
              </w:rPr>
            </w:pPr>
          </w:p>
          <w:p w14:paraId="398CC9D6" w14:textId="77777777" w:rsidR="00FE5B4C" w:rsidRDefault="00000000">
            <w:pPr>
              <w:pStyle w:val="TableParagraph"/>
              <w:ind w:right="62"/>
              <w:rPr>
                <w:sz w:val="24"/>
              </w:rPr>
            </w:pPr>
            <w:r>
              <w:rPr>
                <w:sz w:val="24"/>
              </w:rPr>
              <w:t>(i) Telephone Bill (ii) Bank Account Statement (iii) Letter from any recognized public authority (iv) Electricity Bill</w:t>
            </w:r>
          </w:p>
          <w:p w14:paraId="6927DF58" w14:textId="77777777" w:rsidR="00FE5B4C" w:rsidRDefault="00000000">
            <w:pPr>
              <w:pStyle w:val="TableParagraph"/>
              <w:spacing w:line="264" w:lineRule="exact"/>
              <w:rPr>
                <w:sz w:val="24"/>
              </w:rPr>
            </w:pPr>
            <w:r>
              <w:rPr>
                <w:sz w:val="24"/>
              </w:rPr>
              <w:t>(v) Ration card (vi) Letter from employer.</w:t>
            </w:r>
          </w:p>
        </w:tc>
      </w:tr>
      <w:tr w:rsidR="00FE5B4C" w14:paraId="6C5A2C79" w14:textId="77777777">
        <w:trPr>
          <w:trHeight w:val="1991"/>
        </w:trPr>
        <w:tc>
          <w:tcPr>
            <w:tcW w:w="3120" w:type="dxa"/>
          </w:tcPr>
          <w:p w14:paraId="37B65003" w14:textId="77777777" w:rsidR="00FE5B4C" w:rsidRDefault="00000000">
            <w:pPr>
              <w:pStyle w:val="TableParagraph"/>
              <w:spacing w:before="56"/>
              <w:ind w:left="67" w:right="23"/>
              <w:jc w:val="center"/>
              <w:rPr>
                <w:sz w:val="24"/>
              </w:rPr>
            </w:pPr>
            <w:r>
              <w:rPr>
                <w:w w:val="105"/>
                <w:sz w:val="24"/>
              </w:rPr>
              <w:t>In case of Companies</w:t>
            </w:r>
          </w:p>
        </w:tc>
        <w:tc>
          <w:tcPr>
            <w:tcW w:w="5952" w:type="dxa"/>
          </w:tcPr>
          <w:p w14:paraId="682847DF" w14:textId="77777777" w:rsidR="00FE5B4C" w:rsidRDefault="00000000">
            <w:pPr>
              <w:pStyle w:val="TableParagraph"/>
              <w:spacing w:before="51" w:line="270" w:lineRule="atLeast"/>
              <w:ind w:right="57"/>
              <w:rPr>
                <w:sz w:val="24"/>
              </w:rPr>
            </w:pPr>
            <w:r>
              <w:rPr>
                <w:sz w:val="24"/>
              </w:rPr>
              <w:t xml:space="preserve">(i) Certificate of Incorporation and Memorandum &amp; Articles of Association (ii) Resolution of the Board of Directors to open an account and identification of those who have authority to operate the account (iii) Power of Attorney granted to its managers, officers or employees to transact business on its behalf (iv) </w:t>
            </w:r>
            <w:r>
              <w:rPr>
                <w:spacing w:val="4"/>
                <w:sz w:val="24"/>
              </w:rPr>
              <w:t xml:space="preserve">PAN </w:t>
            </w:r>
            <w:r>
              <w:rPr>
                <w:spacing w:val="5"/>
                <w:sz w:val="24"/>
              </w:rPr>
              <w:t xml:space="preserve">Card </w:t>
            </w:r>
            <w:r>
              <w:rPr>
                <w:sz w:val="24"/>
              </w:rPr>
              <w:t>(v) Telephone</w:t>
            </w:r>
            <w:r>
              <w:rPr>
                <w:spacing w:val="-5"/>
                <w:sz w:val="24"/>
              </w:rPr>
              <w:t xml:space="preserve"> </w:t>
            </w:r>
            <w:r>
              <w:rPr>
                <w:spacing w:val="-3"/>
                <w:sz w:val="24"/>
              </w:rPr>
              <w:t>Bill.</w:t>
            </w:r>
          </w:p>
        </w:tc>
      </w:tr>
      <w:tr w:rsidR="00FE5B4C" w14:paraId="0E7D54A2" w14:textId="77777777">
        <w:trPr>
          <w:trHeight w:val="1715"/>
        </w:trPr>
        <w:tc>
          <w:tcPr>
            <w:tcW w:w="3120" w:type="dxa"/>
          </w:tcPr>
          <w:p w14:paraId="5A68FE77" w14:textId="77777777" w:rsidR="00FE5B4C" w:rsidRDefault="00000000">
            <w:pPr>
              <w:pStyle w:val="TableParagraph"/>
              <w:spacing w:before="56"/>
              <w:ind w:left="67" w:right="25"/>
              <w:jc w:val="center"/>
              <w:rPr>
                <w:sz w:val="24"/>
              </w:rPr>
            </w:pPr>
            <w:r>
              <w:rPr>
                <w:w w:val="110"/>
                <w:sz w:val="24"/>
              </w:rPr>
              <w:t>In case of Partnership Firms</w:t>
            </w:r>
          </w:p>
        </w:tc>
        <w:tc>
          <w:tcPr>
            <w:tcW w:w="5952" w:type="dxa"/>
          </w:tcPr>
          <w:p w14:paraId="08F6F346" w14:textId="77777777" w:rsidR="00FE5B4C" w:rsidRDefault="00000000">
            <w:pPr>
              <w:pStyle w:val="TableParagraph"/>
              <w:spacing w:before="51"/>
              <w:ind w:right="60"/>
              <w:rPr>
                <w:sz w:val="24"/>
              </w:rPr>
            </w:pPr>
            <w:r>
              <w:rPr>
                <w:sz w:val="24"/>
              </w:rPr>
              <w:t>(i) Registration Certificate, if registered (ii) Partnership Deed   (iii)   Power   of   Attorney granted to a  partner or an</w:t>
            </w:r>
            <w:r>
              <w:rPr>
                <w:spacing w:val="27"/>
                <w:sz w:val="24"/>
              </w:rPr>
              <w:t xml:space="preserve"> </w:t>
            </w:r>
            <w:r>
              <w:rPr>
                <w:sz w:val="24"/>
              </w:rPr>
              <w:t>employee</w:t>
            </w:r>
            <w:r>
              <w:rPr>
                <w:spacing w:val="23"/>
                <w:sz w:val="24"/>
              </w:rPr>
              <w:t xml:space="preserve"> </w:t>
            </w:r>
            <w:r>
              <w:rPr>
                <w:sz w:val="24"/>
              </w:rPr>
              <w:t>of</w:t>
            </w:r>
            <w:r>
              <w:rPr>
                <w:spacing w:val="25"/>
                <w:sz w:val="24"/>
              </w:rPr>
              <w:t xml:space="preserve"> </w:t>
            </w:r>
            <w:r>
              <w:rPr>
                <w:sz w:val="24"/>
              </w:rPr>
              <w:t>the</w:t>
            </w:r>
            <w:r>
              <w:rPr>
                <w:spacing w:val="30"/>
                <w:sz w:val="24"/>
              </w:rPr>
              <w:t xml:space="preserve"> </w:t>
            </w:r>
            <w:r>
              <w:rPr>
                <w:sz w:val="24"/>
              </w:rPr>
              <w:t>firm</w:t>
            </w:r>
            <w:r>
              <w:rPr>
                <w:spacing w:val="23"/>
                <w:sz w:val="24"/>
              </w:rPr>
              <w:t xml:space="preserve"> </w:t>
            </w:r>
            <w:r>
              <w:rPr>
                <w:sz w:val="24"/>
              </w:rPr>
              <w:t>to</w:t>
            </w:r>
            <w:r>
              <w:rPr>
                <w:spacing w:val="28"/>
                <w:sz w:val="24"/>
              </w:rPr>
              <w:t xml:space="preserve"> </w:t>
            </w:r>
            <w:r>
              <w:rPr>
                <w:sz w:val="24"/>
              </w:rPr>
              <w:t>transact</w:t>
            </w:r>
            <w:r>
              <w:rPr>
                <w:spacing w:val="25"/>
                <w:sz w:val="24"/>
              </w:rPr>
              <w:t xml:space="preserve"> </w:t>
            </w:r>
            <w:r>
              <w:rPr>
                <w:sz w:val="24"/>
              </w:rPr>
              <w:t>business</w:t>
            </w:r>
            <w:r>
              <w:rPr>
                <w:spacing w:val="23"/>
                <w:sz w:val="24"/>
              </w:rPr>
              <w:t xml:space="preserve"> </w:t>
            </w:r>
            <w:r>
              <w:rPr>
                <w:sz w:val="24"/>
              </w:rPr>
              <w:t>on</w:t>
            </w:r>
            <w:r>
              <w:rPr>
                <w:spacing w:val="27"/>
                <w:sz w:val="24"/>
              </w:rPr>
              <w:t xml:space="preserve"> </w:t>
            </w:r>
            <w:r>
              <w:rPr>
                <w:sz w:val="24"/>
              </w:rPr>
              <w:t>its</w:t>
            </w:r>
            <w:r>
              <w:rPr>
                <w:spacing w:val="31"/>
                <w:sz w:val="24"/>
              </w:rPr>
              <w:t xml:space="preserve"> </w:t>
            </w:r>
            <w:r>
              <w:rPr>
                <w:sz w:val="24"/>
              </w:rPr>
              <w:t>behalf</w:t>
            </w:r>
          </w:p>
          <w:p w14:paraId="04DF8852" w14:textId="77777777" w:rsidR="00FE5B4C" w:rsidRDefault="00000000">
            <w:pPr>
              <w:pStyle w:val="TableParagraph"/>
              <w:spacing w:before="1" w:line="270" w:lineRule="atLeast"/>
              <w:ind w:right="58"/>
              <w:rPr>
                <w:sz w:val="24"/>
              </w:rPr>
            </w:pPr>
            <w:r>
              <w:rPr>
                <w:sz w:val="24"/>
              </w:rPr>
              <w:t>(iv) Any officially valid document identifying the partners and the persons holding the Power of Attorney and their addresses (v) Telephone bill in the name of firm/partners.</w:t>
            </w:r>
          </w:p>
        </w:tc>
      </w:tr>
      <w:tr w:rsidR="00FE5B4C" w14:paraId="609BC8FD" w14:textId="77777777">
        <w:trPr>
          <w:trHeight w:val="1993"/>
        </w:trPr>
        <w:tc>
          <w:tcPr>
            <w:tcW w:w="3120" w:type="dxa"/>
          </w:tcPr>
          <w:p w14:paraId="79249015" w14:textId="77777777" w:rsidR="00FE5B4C" w:rsidRDefault="00000000">
            <w:pPr>
              <w:pStyle w:val="TableParagraph"/>
              <w:spacing w:before="56"/>
              <w:ind w:left="935" w:right="383" w:hanging="428"/>
              <w:jc w:val="left"/>
              <w:rPr>
                <w:sz w:val="24"/>
              </w:rPr>
            </w:pPr>
            <w:r>
              <w:rPr>
                <w:w w:val="110"/>
                <w:sz w:val="24"/>
              </w:rPr>
              <w:t>In case of Trusts and Foundations</w:t>
            </w:r>
          </w:p>
        </w:tc>
        <w:tc>
          <w:tcPr>
            <w:tcW w:w="5952" w:type="dxa"/>
          </w:tcPr>
          <w:p w14:paraId="0AB86F8A" w14:textId="77777777" w:rsidR="00FE5B4C" w:rsidRDefault="00000000">
            <w:pPr>
              <w:pStyle w:val="TableParagraph"/>
              <w:spacing w:before="51" w:line="270" w:lineRule="atLeast"/>
              <w:ind w:right="57"/>
              <w:rPr>
                <w:sz w:val="24"/>
              </w:rPr>
            </w:pPr>
            <w:r>
              <w:rPr>
                <w:sz w:val="24"/>
              </w:rPr>
              <w:t>(i) Certificate of registration, if registered (ii) Power of Attorney granted to transact business on its behalf (iii) Any officially valid document to identify the trustees, settlers, beneficiaries and those holding Power of Attorney, founders/managers/directors and their addresses (iv) Resolution of the managing body of the foundation/ association (v) Telephone Bill.</w:t>
            </w:r>
          </w:p>
        </w:tc>
      </w:tr>
    </w:tbl>
    <w:p w14:paraId="537A732B" w14:textId="77777777" w:rsidR="00517391" w:rsidRDefault="00517391"/>
    <w:sectPr w:rsidR="00517391">
      <w:pgSz w:w="11900" w:h="16840"/>
      <w:pgMar w:top="1400" w:right="1260" w:bottom="1180" w:left="1320" w:header="0" w:footer="99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6283F6" w14:textId="77777777" w:rsidR="00517391" w:rsidRDefault="00517391">
      <w:r>
        <w:separator/>
      </w:r>
    </w:p>
  </w:endnote>
  <w:endnote w:type="continuationSeparator" w:id="0">
    <w:p w14:paraId="26BF7D96" w14:textId="77777777" w:rsidR="00517391" w:rsidRDefault="005173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rlito">
    <w:altName w:val="Calibri"/>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51B6B" w14:textId="51B9EEDD" w:rsidR="00FE5B4C" w:rsidRDefault="005E456C">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17A8F525" wp14:editId="3BE16A5B">
              <wp:simplePos x="0" y="0"/>
              <wp:positionH relativeFrom="page">
                <wp:posOffset>3709670</wp:posOffset>
              </wp:positionH>
              <wp:positionV relativeFrom="page">
                <wp:posOffset>9921240</wp:posOffset>
              </wp:positionV>
              <wp:extent cx="140335" cy="152400"/>
              <wp:effectExtent l="0" t="0" r="0" b="0"/>
              <wp:wrapNone/>
              <wp:docPr id="82239892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D1422A" w14:textId="77777777" w:rsidR="00FE5B4C" w:rsidRDefault="00000000">
                          <w:pPr>
                            <w:spacing w:before="25" w:line="214" w:lineRule="exact"/>
                            <w:ind w:left="60"/>
                            <w:rPr>
                              <w:rFonts w:ascii="Carlito"/>
                              <w:sz w:val="20"/>
                            </w:rPr>
                          </w:pPr>
                          <w:r>
                            <w:fldChar w:fldCharType="begin"/>
                          </w:r>
                          <w:r>
                            <w:rPr>
                              <w:rFonts w:ascii="Carlito"/>
                              <w:w w:val="99"/>
                              <w:sz w:val="20"/>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A8F525" id="_x0000_t202" coordsize="21600,21600" o:spt="202" path="m,l,21600r21600,l21600,xe">
              <v:stroke joinstyle="miter"/>
              <v:path gradientshapeok="t" o:connecttype="rect"/>
            </v:shapetype>
            <v:shape id="Text Box 1" o:spid="_x0000_s1026" type="#_x0000_t202" style="position:absolute;margin-left:292.1pt;margin-top:781.2pt;width:11.05pt;height:1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" filled="f" stroked="f">
              <v:textbox inset="0,0,0,0">
                <w:txbxContent>
                  <w:p w14:paraId="47D1422A" w14:textId="77777777" w:rsidR="00FE5B4C" w:rsidRDefault="00000000">
                    <w:pPr>
                      <w:spacing w:before="25" w:line="214" w:lineRule="exact"/>
                      <w:ind w:left="60"/>
                      <w:rPr>
                        <w:rFonts w:ascii="Carlito"/>
                        <w:sz w:val="20"/>
                      </w:rPr>
                    </w:pPr>
                    <w:r>
                      <w:fldChar w:fldCharType="begin"/>
                    </w:r>
                    <w:r>
                      <w:rPr>
                        <w:rFonts w:ascii="Carlito"/>
                        <w:w w:val="99"/>
                        <w:sz w:val="20"/>
                      </w:rPr>
                      <w:instrText xml:space="preserve"> PAGE </w:instrText>
                    </w:r>
                    <w:r>
                      <w:fldChar w:fldCharType="separate"/>
                    </w:r>
                    <w: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A47747" w14:textId="77777777" w:rsidR="00517391" w:rsidRDefault="00517391">
      <w:r>
        <w:separator/>
      </w:r>
    </w:p>
  </w:footnote>
  <w:footnote w:type="continuationSeparator" w:id="0">
    <w:p w14:paraId="07D5DDE7" w14:textId="77777777" w:rsidR="00517391" w:rsidRDefault="005173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31F95"/>
    <w:multiLevelType w:val="hybridMultilevel"/>
    <w:tmpl w:val="83AA9414"/>
    <w:lvl w:ilvl="0" w:tplc="713C6B5E">
      <w:start w:val="1"/>
      <w:numFmt w:val="lowerLetter"/>
      <w:lvlText w:val="%1."/>
      <w:lvlJc w:val="left"/>
      <w:pPr>
        <w:ind w:left="686" w:hanging="567"/>
        <w:jc w:val="left"/>
      </w:pPr>
      <w:rPr>
        <w:rFonts w:ascii="Times New Roman" w:eastAsia="Times New Roman" w:hAnsi="Times New Roman" w:cs="Times New Roman" w:hint="default"/>
        <w:spacing w:val="-1"/>
        <w:w w:val="99"/>
        <w:sz w:val="24"/>
        <w:szCs w:val="24"/>
        <w:lang w:val="en-US" w:eastAsia="en-US" w:bidi="ar-SA"/>
      </w:rPr>
    </w:lvl>
    <w:lvl w:ilvl="1" w:tplc="882C8D4E">
      <w:numFmt w:val="bullet"/>
      <w:lvlText w:val="•"/>
      <w:lvlJc w:val="left"/>
      <w:pPr>
        <w:ind w:left="1544" w:hanging="567"/>
      </w:pPr>
      <w:rPr>
        <w:rFonts w:hint="default"/>
        <w:lang w:val="en-US" w:eastAsia="en-US" w:bidi="ar-SA"/>
      </w:rPr>
    </w:lvl>
    <w:lvl w:ilvl="2" w:tplc="6570F4F0">
      <w:numFmt w:val="bullet"/>
      <w:lvlText w:val="•"/>
      <w:lvlJc w:val="left"/>
      <w:pPr>
        <w:ind w:left="2408" w:hanging="567"/>
      </w:pPr>
      <w:rPr>
        <w:rFonts w:hint="default"/>
        <w:lang w:val="en-US" w:eastAsia="en-US" w:bidi="ar-SA"/>
      </w:rPr>
    </w:lvl>
    <w:lvl w:ilvl="3" w:tplc="28B0436A">
      <w:numFmt w:val="bullet"/>
      <w:lvlText w:val="•"/>
      <w:lvlJc w:val="left"/>
      <w:pPr>
        <w:ind w:left="3272" w:hanging="567"/>
      </w:pPr>
      <w:rPr>
        <w:rFonts w:hint="default"/>
        <w:lang w:val="en-US" w:eastAsia="en-US" w:bidi="ar-SA"/>
      </w:rPr>
    </w:lvl>
    <w:lvl w:ilvl="4" w:tplc="ADF40360">
      <w:numFmt w:val="bullet"/>
      <w:lvlText w:val="•"/>
      <w:lvlJc w:val="left"/>
      <w:pPr>
        <w:ind w:left="4136" w:hanging="567"/>
      </w:pPr>
      <w:rPr>
        <w:rFonts w:hint="default"/>
        <w:lang w:val="en-US" w:eastAsia="en-US" w:bidi="ar-SA"/>
      </w:rPr>
    </w:lvl>
    <w:lvl w:ilvl="5" w:tplc="EDA45DFC">
      <w:numFmt w:val="bullet"/>
      <w:lvlText w:val="•"/>
      <w:lvlJc w:val="left"/>
      <w:pPr>
        <w:ind w:left="5000" w:hanging="567"/>
      </w:pPr>
      <w:rPr>
        <w:rFonts w:hint="default"/>
        <w:lang w:val="en-US" w:eastAsia="en-US" w:bidi="ar-SA"/>
      </w:rPr>
    </w:lvl>
    <w:lvl w:ilvl="6" w:tplc="1D6656F4">
      <w:numFmt w:val="bullet"/>
      <w:lvlText w:val="•"/>
      <w:lvlJc w:val="left"/>
      <w:pPr>
        <w:ind w:left="5864" w:hanging="567"/>
      </w:pPr>
      <w:rPr>
        <w:rFonts w:hint="default"/>
        <w:lang w:val="en-US" w:eastAsia="en-US" w:bidi="ar-SA"/>
      </w:rPr>
    </w:lvl>
    <w:lvl w:ilvl="7" w:tplc="38CEA0F0">
      <w:numFmt w:val="bullet"/>
      <w:lvlText w:val="•"/>
      <w:lvlJc w:val="left"/>
      <w:pPr>
        <w:ind w:left="6728" w:hanging="567"/>
      </w:pPr>
      <w:rPr>
        <w:rFonts w:hint="default"/>
        <w:lang w:val="en-US" w:eastAsia="en-US" w:bidi="ar-SA"/>
      </w:rPr>
    </w:lvl>
    <w:lvl w:ilvl="8" w:tplc="A64C2212">
      <w:numFmt w:val="bullet"/>
      <w:lvlText w:val="•"/>
      <w:lvlJc w:val="left"/>
      <w:pPr>
        <w:ind w:left="7592" w:hanging="567"/>
      </w:pPr>
      <w:rPr>
        <w:rFonts w:hint="default"/>
        <w:lang w:val="en-US" w:eastAsia="en-US" w:bidi="ar-SA"/>
      </w:rPr>
    </w:lvl>
  </w:abstractNum>
  <w:abstractNum w:abstractNumId="1" w15:restartNumberingAfterBreak="0">
    <w:nsid w:val="22473552"/>
    <w:multiLevelType w:val="hybridMultilevel"/>
    <w:tmpl w:val="9CBEBD94"/>
    <w:lvl w:ilvl="0" w:tplc="60EC9894">
      <w:start w:val="1"/>
      <w:numFmt w:val="decimal"/>
      <w:lvlText w:val="%1."/>
      <w:lvlJc w:val="left"/>
      <w:pPr>
        <w:ind w:left="477" w:hanging="358"/>
        <w:jc w:val="left"/>
      </w:pPr>
      <w:rPr>
        <w:rFonts w:ascii="Times New Roman" w:eastAsia="Times New Roman" w:hAnsi="Times New Roman" w:cs="Times New Roman" w:hint="default"/>
        <w:spacing w:val="-1"/>
        <w:w w:val="99"/>
        <w:sz w:val="24"/>
        <w:szCs w:val="24"/>
        <w:lang w:val="en-US" w:eastAsia="en-US" w:bidi="ar-SA"/>
      </w:rPr>
    </w:lvl>
    <w:lvl w:ilvl="1" w:tplc="F634E34C">
      <w:numFmt w:val="bullet"/>
      <w:lvlText w:val="•"/>
      <w:lvlJc w:val="left"/>
      <w:pPr>
        <w:ind w:left="1364" w:hanging="358"/>
      </w:pPr>
      <w:rPr>
        <w:rFonts w:hint="default"/>
        <w:lang w:val="en-US" w:eastAsia="en-US" w:bidi="ar-SA"/>
      </w:rPr>
    </w:lvl>
    <w:lvl w:ilvl="2" w:tplc="63623E56">
      <w:numFmt w:val="bullet"/>
      <w:lvlText w:val="•"/>
      <w:lvlJc w:val="left"/>
      <w:pPr>
        <w:ind w:left="2248" w:hanging="358"/>
      </w:pPr>
      <w:rPr>
        <w:rFonts w:hint="default"/>
        <w:lang w:val="en-US" w:eastAsia="en-US" w:bidi="ar-SA"/>
      </w:rPr>
    </w:lvl>
    <w:lvl w:ilvl="3" w:tplc="D3D88204">
      <w:numFmt w:val="bullet"/>
      <w:lvlText w:val="•"/>
      <w:lvlJc w:val="left"/>
      <w:pPr>
        <w:ind w:left="3132" w:hanging="358"/>
      </w:pPr>
      <w:rPr>
        <w:rFonts w:hint="default"/>
        <w:lang w:val="en-US" w:eastAsia="en-US" w:bidi="ar-SA"/>
      </w:rPr>
    </w:lvl>
    <w:lvl w:ilvl="4" w:tplc="66BA810A">
      <w:numFmt w:val="bullet"/>
      <w:lvlText w:val="•"/>
      <w:lvlJc w:val="left"/>
      <w:pPr>
        <w:ind w:left="4016" w:hanging="358"/>
      </w:pPr>
      <w:rPr>
        <w:rFonts w:hint="default"/>
        <w:lang w:val="en-US" w:eastAsia="en-US" w:bidi="ar-SA"/>
      </w:rPr>
    </w:lvl>
    <w:lvl w:ilvl="5" w:tplc="D91A5CB4">
      <w:numFmt w:val="bullet"/>
      <w:lvlText w:val="•"/>
      <w:lvlJc w:val="left"/>
      <w:pPr>
        <w:ind w:left="4900" w:hanging="358"/>
      </w:pPr>
      <w:rPr>
        <w:rFonts w:hint="default"/>
        <w:lang w:val="en-US" w:eastAsia="en-US" w:bidi="ar-SA"/>
      </w:rPr>
    </w:lvl>
    <w:lvl w:ilvl="6" w:tplc="C2FE36EE">
      <w:numFmt w:val="bullet"/>
      <w:lvlText w:val="•"/>
      <w:lvlJc w:val="left"/>
      <w:pPr>
        <w:ind w:left="5784" w:hanging="358"/>
      </w:pPr>
      <w:rPr>
        <w:rFonts w:hint="default"/>
        <w:lang w:val="en-US" w:eastAsia="en-US" w:bidi="ar-SA"/>
      </w:rPr>
    </w:lvl>
    <w:lvl w:ilvl="7" w:tplc="969E9890">
      <w:numFmt w:val="bullet"/>
      <w:lvlText w:val="•"/>
      <w:lvlJc w:val="left"/>
      <w:pPr>
        <w:ind w:left="6668" w:hanging="358"/>
      </w:pPr>
      <w:rPr>
        <w:rFonts w:hint="default"/>
        <w:lang w:val="en-US" w:eastAsia="en-US" w:bidi="ar-SA"/>
      </w:rPr>
    </w:lvl>
    <w:lvl w:ilvl="8" w:tplc="3E9A0EDE">
      <w:numFmt w:val="bullet"/>
      <w:lvlText w:val="•"/>
      <w:lvlJc w:val="left"/>
      <w:pPr>
        <w:ind w:left="7552" w:hanging="358"/>
      </w:pPr>
      <w:rPr>
        <w:rFonts w:hint="default"/>
        <w:lang w:val="en-US" w:eastAsia="en-US" w:bidi="ar-SA"/>
      </w:rPr>
    </w:lvl>
  </w:abstractNum>
  <w:abstractNum w:abstractNumId="2" w15:restartNumberingAfterBreak="0">
    <w:nsid w:val="22F83A89"/>
    <w:multiLevelType w:val="hybridMultilevel"/>
    <w:tmpl w:val="B8CAD24E"/>
    <w:lvl w:ilvl="0" w:tplc="6FD4B60C">
      <w:start w:val="1"/>
      <w:numFmt w:val="lowerLetter"/>
      <w:lvlText w:val="%1."/>
      <w:lvlJc w:val="left"/>
      <w:pPr>
        <w:ind w:left="686" w:hanging="567"/>
        <w:jc w:val="left"/>
      </w:pPr>
      <w:rPr>
        <w:rFonts w:ascii="Times New Roman" w:eastAsia="Times New Roman" w:hAnsi="Times New Roman" w:cs="Times New Roman" w:hint="default"/>
        <w:spacing w:val="-1"/>
        <w:w w:val="99"/>
        <w:sz w:val="24"/>
        <w:szCs w:val="24"/>
        <w:lang w:val="en-US" w:eastAsia="en-US" w:bidi="ar-SA"/>
      </w:rPr>
    </w:lvl>
    <w:lvl w:ilvl="1" w:tplc="8DB02E2A">
      <w:numFmt w:val="bullet"/>
      <w:lvlText w:val="•"/>
      <w:lvlJc w:val="left"/>
      <w:pPr>
        <w:ind w:left="1544" w:hanging="567"/>
      </w:pPr>
      <w:rPr>
        <w:rFonts w:hint="default"/>
        <w:lang w:val="en-US" w:eastAsia="en-US" w:bidi="ar-SA"/>
      </w:rPr>
    </w:lvl>
    <w:lvl w:ilvl="2" w:tplc="80CEE102">
      <w:numFmt w:val="bullet"/>
      <w:lvlText w:val="•"/>
      <w:lvlJc w:val="left"/>
      <w:pPr>
        <w:ind w:left="2408" w:hanging="567"/>
      </w:pPr>
      <w:rPr>
        <w:rFonts w:hint="default"/>
        <w:lang w:val="en-US" w:eastAsia="en-US" w:bidi="ar-SA"/>
      </w:rPr>
    </w:lvl>
    <w:lvl w:ilvl="3" w:tplc="9B78D016">
      <w:numFmt w:val="bullet"/>
      <w:lvlText w:val="•"/>
      <w:lvlJc w:val="left"/>
      <w:pPr>
        <w:ind w:left="3272" w:hanging="567"/>
      </w:pPr>
      <w:rPr>
        <w:rFonts w:hint="default"/>
        <w:lang w:val="en-US" w:eastAsia="en-US" w:bidi="ar-SA"/>
      </w:rPr>
    </w:lvl>
    <w:lvl w:ilvl="4" w:tplc="60E83C3A">
      <w:numFmt w:val="bullet"/>
      <w:lvlText w:val="•"/>
      <w:lvlJc w:val="left"/>
      <w:pPr>
        <w:ind w:left="4136" w:hanging="567"/>
      </w:pPr>
      <w:rPr>
        <w:rFonts w:hint="default"/>
        <w:lang w:val="en-US" w:eastAsia="en-US" w:bidi="ar-SA"/>
      </w:rPr>
    </w:lvl>
    <w:lvl w:ilvl="5" w:tplc="0EECF172">
      <w:numFmt w:val="bullet"/>
      <w:lvlText w:val="•"/>
      <w:lvlJc w:val="left"/>
      <w:pPr>
        <w:ind w:left="5000" w:hanging="567"/>
      </w:pPr>
      <w:rPr>
        <w:rFonts w:hint="default"/>
        <w:lang w:val="en-US" w:eastAsia="en-US" w:bidi="ar-SA"/>
      </w:rPr>
    </w:lvl>
    <w:lvl w:ilvl="6" w:tplc="3B520EE4">
      <w:numFmt w:val="bullet"/>
      <w:lvlText w:val="•"/>
      <w:lvlJc w:val="left"/>
      <w:pPr>
        <w:ind w:left="5864" w:hanging="567"/>
      </w:pPr>
      <w:rPr>
        <w:rFonts w:hint="default"/>
        <w:lang w:val="en-US" w:eastAsia="en-US" w:bidi="ar-SA"/>
      </w:rPr>
    </w:lvl>
    <w:lvl w:ilvl="7" w:tplc="923809E0">
      <w:numFmt w:val="bullet"/>
      <w:lvlText w:val="•"/>
      <w:lvlJc w:val="left"/>
      <w:pPr>
        <w:ind w:left="6728" w:hanging="567"/>
      </w:pPr>
      <w:rPr>
        <w:rFonts w:hint="default"/>
        <w:lang w:val="en-US" w:eastAsia="en-US" w:bidi="ar-SA"/>
      </w:rPr>
    </w:lvl>
    <w:lvl w:ilvl="8" w:tplc="10A866A8">
      <w:numFmt w:val="bullet"/>
      <w:lvlText w:val="•"/>
      <w:lvlJc w:val="left"/>
      <w:pPr>
        <w:ind w:left="7592" w:hanging="567"/>
      </w:pPr>
      <w:rPr>
        <w:rFonts w:hint="default"/>
        <w:lang w:val="en-US" w:eastAsia="en-US" w:bidi="ar-SA"/>
      </w:rPr>
    </w:lvl>
  </w:abstractNum>
  <w:num w:numId="1" w16cid:durableId="1623805511">
    <w:abstractNumId w:val="2"/>
  </w:num>
  <w:num w:numId="2" w16cid:durableId="1057703291">
    <w:abstractNumId w:val="1"/>
  </w:num>
  <w:num w:numId="3" w16cid:durableId="12025966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B4C"/>
    <w:rsid w:val="00517391"/>
    <w:rsid w:val="005E456C"/>
    <w:rsid w:val="00FE5B4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9A47A0"/>
  <w15:docId w15:val="{62ECF224-2D9C-406B-B565-A834C826A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6" w:line="542" w:lineRule="exact"/>
      <w:ind w:left="86" w:right="140"/>
      <w:jc w:val="center"/>
    </w:pPr>
    <w:rPr>
      <w:rFonts w:ascii="Georgia" w:eastAsia="Georgia" w:hAnsi="Georgia" w:cs="Georgia"/>
      <w:sz w:val="48"/>
      <w:szCs w:val="48"/>
    </w:rPr>
  </w:style>
  <w:style w:type="paragraph" w:styleId="ListParagraph">
    <w:name w:val="List Paragraph"/>
    <w:basedOn w:val="Normal"/>
    <w:uiPriority w:val="1"/>
    <w:qFormat/>
    <w:pPr>
      <w:ind w:left="686" w:hanging="567"/>
    </w:pPr>
  </w:style>
  <w:style w:type="paragraph" w:customStyle="1" w:styleId="TableParagraph">
    <w:name w:val="Table Paragraph"/>
    <w:basedOn w:val="Normal"/>
    <w:uiPriority w:val="1"/>
    <w:qFormat/>
    <w:pPr>
      <w:ind w:left="107"/>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1891</Words>
  <Characters>10782</Characters>
  <Application>Microsoft Office Word</Application>
  <DocSecurity>0</DocSecurity>
  <Lines>89</Lines>
  <Paragraphs>25</Paragraphs>
  <ScaleCrop>false</ScaleCrop>
  <Company/>
  <LinksUpToDate>false</LinksUpToDate>
  <CharactersWithSpaces>12648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_01_ Akashdeep RBI Guidelines on KYC</dc:title>
  <dc:creator>DM</dc:creator>
  <cp:lastModifiedBy>Anshuman Das</cp:lastModifiedBy>
  <cp:revision>2</cp:revision>
  <dcterms:created xsi:type="dcterms:W3CDTF">2023-08-21T11:15:00Z</dcterms:created>
  <dcterms:modified xsi:type="dcterms:W3CDTF">2023-08-21T11:15:00Z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2014-12-20T00:00:00Z</vt:filetime>
  </property>
  <property fmtid="{D5CDD505-2E9C-101B-9397-08002B2CF9AE}" pid="3" name="Creator">
    <vt:lpwstr>UnknownApplication</vt:lpwstr>
  </property>
  <property fmtid="{D5CDD505-2E9C-101B-9397-08002B2CF9AE}" pid="4" name="LastSaved">
    <vt:filetime>2023-08-21T00:00:00Z</vt:filetime>
  </property>
</Properties>
</file>